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A7" w:rsidRDefault="00C304A7" w:rsidP="008722F5">
      <w:pPr>
        <w:jc w:val="both"/>
        <w:rPr>
          <w:rFonts w:ascii="Century Gothic" w:hAnsi="Century Gothic"/>
          <w:b/>
        </w:rPr>
      </w:pPr>
      <w:r>
        <w:rPr>
          <w:rFonts w:ascii="Century Gothic" w:hAnsi="Century Gothic"/>
          <w:b/>
        </w:rPr>
        <w:t>ACTA DE SESIÓN EXTRAORDINARIA DE FECHA 24 VEINTI</w:t>
      </w:r>
      <w:r w:rsidR="00572A43">
        <w:rPr>
          <w:rFonts w:ascii="Century Gothic" w:hAnsi="Century Gothic"/>
          <w:b/>
        </w:rPr>
        <w:t xml:space="preserve">CUATRO DE MAYO DEL AÑO 2017 DOS </w:t>
      </w:r>
      <w:r>
        <w:rPr>
          <w:rFonts w:ascii="Century Gothic" w:hAnsi="Century Gothic"/>
          <w:b/>
        </w:rPr>
        <w:t>MIL DIECISIETE, DEL H. COMITÉ DE TRANSPARENCIA CLASIFICACIÓN DE INFORMACIÓN PÚBLICA Y TRANSPARENCIA DEL TRIBUNAL DE ARBITRAJE Y ESCALAFÓN DEL ESTADO DE JALISCO.</w:t>
      </w:r>
    </w:p>
    <w:p w:rsidR="00C304A7" w:rsidRDefault="00C304A7" w:rsidP="008722F5">
      <w:pPr>
        <w:jc w:val="both"/>
        <w:rPr>
          <w:rFonts w:ascii="Century Gothic" w:hAnsi="Century Gothic"/>
        </w:rPr>
      </w:pPr>
    </w:p>
    <w:p w:rsidR="00C304A7" w:rsidRPr="00467FAC" w:rsidRDefault="00C304A7" w:rsidP="00467FAC">
      <w:pPr>
        <w:ind w:firstLine="708"/>
        <w:jc w:val="both"/>
        <w:rPr>
          <w:rFonts w:ascii="Century Gothic" w:hAnsi="Century Gothic"/>
        </w:rPr>
      </w:pPr>
      <w:r w:rsidRPr="00467FAC">
        <w:rPr>
          <w:rFonts w:ascii="Century Gothic" w:hAnsi="Century Gothic"/>
        </w:rPr>
        <w:t>Siendo las 11:00 once horas  del día 24 veinticuatro de mayo del año en curso, en las instalaciones que ocupa el Tribunal de Arbitraje y Escalafón del Estado de Jalisco, situado  en la Avenida Américas número 599,  esquina Eulogio Parra, edificio Cuauhtémoc, cuarto y quinto piso, Colonia Ladrón de Guevara, Guadalajara Jalisco, a efecto de constituirse el pleno del H. COMITÉ DE CLASIFICACIÓN DE INFORMACIÓN PÚBLICA Y TRANSPARENCIA DEL TRIBUNAL DE ARBITRAJE Y ESCALAFÓN DEL ESTADO DE</w:t>
      </w:r>
      <w:r w:rsidR="00572A43">
        <w:rPr>
          <w:rFonts w:ascii="Century Gothic" w:hAnsi="Century Gothic"/>
        </w:rPr>
        <w:t xml:space="preserve"> </w:t>
      </w:r>
      <w:r w:rsidRPr="00467FAC">
        <w:rPr>
          <w:rFonts w:ascii="Century Gothic" w:hAnsi="Century Gothic"/>
        </w:rPr>
        <w:t>JALISCO, el encargado de la Presidencia del Comité de Clasificación de Información Pública de esta Dependencia, previa convocatoria de la Titular de Esta Unidad de Transparencia en su carácter de Secretario Técnico de este órgano interno, con fundamento en lo dispuesto en el</w:t>
      </w:r>
      <w:r w:rsidR="00A252D8">
        <w:rPr>
          <w:rFonts w:ascii="Century Gothic" w:hAnsi="Century Gothic"/>
        </w:rPr>
        <w:t xml:space="preserve"> artículo 29 punto 2 de la Ley d</w:t>
      </w:r>
      <w:r w:rsidRPr="00467FAC">
        <w:rPr>
          <w:rFonts w:ascii="Century Gothic" w:hAnsi="Century Gothic"/>
        </w:rPr>
        <w:t xml:space="preserve">e Transparencia y Acceso a la Información Pública del Estado de Jalisco y sus Municipios, 11 fracción I, del Reglamento de la Ley de información pública del Estado de Jalisco y sus Municipios,  así como en cumplimiento al  acuerdo dictado con fecha </w:t>
      </w:r>
      <w:r w:rsidR="007E5AC8" w:rsidRPr="00467FAC">
        <w:rPr>
          <w:rFonts w:ascii="Century Gothic" w:hAnsi="Century Gothic"/>
        </w:rPr>
        <w:t>22 veintidós de mayo</w:t>
      </w:r>
      <w:r w:rsidRPr="00467FAC">
        <w:rPr>
          <w:rFonts w:ascii="Century Gothic" w:hAnsi="Century Gothic"/>
        </w:rPr>
        <w:t xml:space="preserve"> del año en curso, se acuerda el inicio de la sesión.-</w:t>
      </w:r>
    </w:p>
    <w:p w:rsidR="00C304A7" w:rsidRPr="00467FAC" w:rsidRDefault="00C304A7" w:rsidP="00467FAC">
      <w:pPr>
        <w:ind w:firstLine="708"/>
        <w:jc w:val="both"/>
        <w:rPr>
          <w:rFonts w:ascii="Century Gothic" w:hAnsi="Century Gothic"/>
        </w:rPr>
      </w:pPr>
      <w:r w:rsidRPr="00467FAC">
        <w:rPr>
          <w:rFonts w:ascii="Century Gothic" w:hAnsi="Century Gothic"/>
        </w:rPr>
        <w:t xml:space="preserve">Acto continuo la Secretario Técnico hace constar la asistencia de las siguientes personas: </w:t>
      </w:r>
    </w:p>
    <w:p w:rsidR="00C304A7" w:rsidRPr="00467FAC" w:rsidRDefault="00C304A7" w:rsidP="00467FAC">
      <w:pPr>
        <w:ind w:firstLine="708"/>
        <w:jc w:val="both"/>
        <w:rPr>
          <w:rFonts w:ascii="Century Gothic" w:hAnsi="Century Gothic"/>
        </w:rPr>
      </w:pPr>
    </w:p>
    <w:p w:rsidR="00C304A7" w:rsidRPr="00467FAC" w:rsidRDefault="00C304A7" w:rsidP="00467FAC">
      <w:pPr>
        <w:jc w:val="both"/>
        <w:rPr>
          <w:rFonts w:ascii="Century Gothic" w:hAnsi="Century Gothic"/>
          <w:b/>
        </w:rPr>
      </w:pPr>
      <w:r w:rsidRPr="00467FAC">
        <w:rPr>
          <w:rFonts w:ascii="Century Gothic" w:hAnsi="Century Gothic"/>
          <w:b/>
        </w:rPr>
        <w:t>MAGISTRADO JAIME ERNESTO DE JESÚS ACOSTA ESPINOZA, EN SU CARÁCTER DE PRESIDENTE DEL TRIBUNAL DE ARBITRAJE Y ESCALAFÓN DEL ESTADO DE JALISCO. Y ENCARGADO DE LA PRESIDENCIA DEL COMITÉ</w:t>
      </w:r>
    </w:p>
    <w:p w:rsidR="00C304A7" w:rsidRPr="00467FAC" w:rsidRDefault="00C304A7" w:rsidP="00467FAC">
      <w:pPr>
        <w:jc w:val="both"/>
        <w:rPr>
          <w:rFonts w:ascii="Century Gothic" w:hAnsi="Century Gothic"/>
          <w:b/>
        </w:rPr>
      </w:pPr>
      <w:r w:rsidRPr="00467FAC">
        <w:rPr>
          <w:rFonts w:ascii="Century Gothic" w:hAnsi="Century Gothic"/>
          <w:b/>
        </w:rPr>
        <w:t>LICENCIADA KARLA GEORGINA MARTIN ACOSTA, EN SU CARÁCTER DE COORDINADOR OPERATIVO DE LA UNIDAD DE TRANSPARENCIA, QUIEN ACTÚA COMO SECRETARIO TÉCNICO DE ESTE COMITÉ DE CLASIFICACIÓN DE INFORMACIÓN PÚBLICA Y TRANSPARENCIA.</w:t>
      </w:r>
    </w:p>
    <w:p w:rsidR="00C304A7" w:rsidRPr="00467FAC" w:rsidRDefault="00C304A7" w:rsidP="00467FAC">
      <w:pPr>
        <w:jc w:val="both"/>
        <w:rPr>
          <w:rFonts w:ascii="Century Gothic" w:hAnsi="Century Gothic"/>
          <w:b/>
        </w:rPr>
      </w:pPr>
      <w:r w:rsidRPr="00467FAC">
        <w:rPr>
          <w:rFonts w:ascii="Century Gothic" w:hAnsi="Century Gothic"/>
          <w:b/>
        </w:rPr>
        <w:t>MAESTRA SILVIA LÓPEZ GODÍNEZ, EN SU CARÁCTER DE COORDINADORA ADMINISTRATIVA DEL TRIBUNAL DE ARBITRAJE Y ESCALAFÓN DEL ESTADO DE JALISCO.</w:t>
      </w:r>
    </w:p>
    <w:p w:rsidR="00C304A7" w:rsidRPr="00467FAC" w:rsidRDefault="00C304A7" w:rsidP="00467FAC">
      <w:pPr>
        <w:jc w:val="both"/>
        <w:rPr>
          <w:rFonts w:ascii="Century Gothic" w:hAnsi="Century Gothic"/>
          <w:b/>
        </w:rPr>
      </w:pPr>
    </w:p>
    <w:p w:rsidR="00C304A7" w:rsidRPr="00467FAC" w:rsidRDefault="00C304A7" w:rsidP="00467FAC">
      <w:pPr>
        <w:jc w:val="both"/>
        <w:rPr>
          <w:rFonts w:ascii="Century Gothic" w:hAnsi="Century Gothic"/>
        </w:rPr>
      </w:pPr>
      <w:r w:rsidRPr="00467FAC">
        <w:rPr>
          <w:rFonts w:ascii="Century Gothic" w:hAnsi="Century Gothic"/>
        </w:rPr>
        <w:lastRenderedPageBreak/>
        <w:tab/>
        <w:t xml:space="preserve">Una vez verificado el quórum legal para sesionar, y encontrándose la totalidad de los integrantes del comité, se procede a la lectura de la orden del día: </w:t>
      </w:r>
    </w:p>
    <w:p w:rsidR="00C304A7" w:rsidRPr="00467FAC" w:rsidRDefault="00C304A7" w:rsidP="00467FAC">
      <w:pPr>
        <w:spacing w:after="55"/>
        <w:ind w:left="63" w:right="33" w:firstLine="8"/>
        <w:jc w:val="both"/>
        <w:rPr>
          <w:rFonts w:ascii="Century Gothic" w:hAnsi="Century Gothic"/>
        </w:rPr>
      </w:pPr>
      <w:r w:rsidRPr="00467FAC">
        <w:rPr>
          <w:rFonts w:ascii="Century Gothic" w:hAnsi="Century Gothic"/>
        </w:rPr>
        <w:t>1.- Lista de asistencia y establecimiento de quórum legal.</w:t>
      </w:r>
    </w:p>
    <w:p w:rsidR="00C304A7" w:rsidRPr="00467FAC" w:rsidRDefault="00C304A7" w:rsidP="00467FAC">
      <w:pPr>
        <w:spacing w:after="53"/>
        <w:ind w:left="57" w:right="45" w:firstLine="2"/>
        <w:jc w:val="both"/>
        <w:rPr>
          <w:rFonts w:ascii="Century Gothic" w:hAnsi="Century Gothic"/>
        </w:rPr>
      </w:pPr>
      <w:r w:rsidRPr="00467FAC">
        <w:rPr>
          <w:rFonts w:ascii="Century Gothic" w:hAnsi="Century Gothic"/>
        </w:rPr>
        <w:t>2.- Aprobación del orden del día.</w:t>
      </w:r>
    </w:p>
    <w:p w:rsidR="007E5AC8" w:rsidRPr="00467FAC" w:rsidRDefault="00C304A7" w:rsidP="00467FAC">
      <w:pPr>
        <w:ind w:left="57" w:right="45" w:firstLine="2"/>
        <w:jc w:val="both"/>
        <w:rPr>
          <w:rFonts w:ascii="Century Gothic" w:eastAsia="Times New Roman" w:hAnsi="Century Gothic" w:cs="Times New Roman"/>
        </w:rPr>
      </w:pPr>
      <w:r w:rsidRPr="00467FAC">
        <w:rPr>
          <w:rFonts w:ascii="Century Gothic" w:hAnsi="Century Gothic"/>
        </w:rPr>
        <w:t xml:space="preserve">3.- </w:t>
      </w:r>
      <w:r w:rsidR="007E5AC8" w:rsidRPr="00467FAC">
        <w:rPr>
          <w:rFonts w:ascii="Century Gothic" w:eastAsia="Times New Roman" w:hAnsi="Century Gothic" w:cs="Times New Roman"/>
        </w:rPr>
        <w:t xml:space="preserve">Análisis de la declaratoria de información reservada, a reserva de ser realizada </w:t>
      </w:r>
      <w:r w:rsidR="00A252D8">
        <w:rPr>
          <w:rFonts w:ascii="Century Gothic" w:eastAsia="Times New Roman" w:hAnsi="Century Gothic" w:cs="Times New Roman"/>
        </w:rPr>
        <w:t>l</w:t>
      </w:r>
      <w:r w:rsidR="007E5AC8" w:rsidRPr="00467FAC">
        <w:rPr>
          <w:rFonts w:ascii="Century Gothic" w:eastAsia="Times New Roman" w:hAnsi="Century Gothic" w:cs="Times New Roman"/>
        </w:rPr>
        <w:t>a prueba de daño requerida dentro del expediente de la solicitud de información 14/2017, de conformidad a lo establecido por el artículo 18 de la Ley de la materia.</w:t>
      </w:r>
    </w:p>
    <w:p w:rsidR="00C304A7" w:rsidRPr="00467FAC" w:rsidRDefault="00C304A7" w:rsidP="00467FAC">
      <w:pPr>
        <w:spacing w:after="259"/>
        <w:ind w:left="63" w:right="33" w:firstLine="8"/>
        <w:jc w:val="both"/>
        <w:rPr>
          <w:rFonts w:ascii="Century Gothic" w:hAnsi="Century Gothic"/>
        </w:rPr>
      </w:pPr>
      <w:r w:rsidRPr="00467FAC">
        <w:rPr>
          <w:rFonts w:ascii="Century Gothic" w:hAnsi="Century Gothic"/>
        </w:rPr>
        <w:t>4.- Clausura de la Sesión.</w:t>
      </w:r>
    </w:p>
    <w:p w:rsidR="00C304A7" w:rsidRPr="00467FAC" w:rsidRDefault="007E5AC8" w:rsidP="00467FAC">
      <w:pPr>
        <w:spacing w:after="343"/>
        <w:ind w:left="57" w:right="45" w:firstLine="2"/>
        <w:jc w:val="both"/>
        <w:rPr>
          <w:rFonts w:ascii="Century Gothic" w:hAnsi="Century Gothic"/>
        </w:rPr>
      </w:pPr>
      <w:r w:rsidRPr="00467FAC">
        <w:rPr>
          <w:rFonts w:ascii="Century Gothic" w:hAnsi="Century Gothic"/>
        </w:rPr>
        <w:tab/>
      </w:r>
      <w:r w:rsidR="00C304A7" w:rsidRPr="00467FAC">
        <w:rPr>
          <w:rFonts w:ascii="Century Gothic" w:hAnsi="Century Gothic"/>
        </w:rPr>
        <w:t>En relación al punto número 2 dos, se pone a consideración de los integrantes del Comité la orden del día, quienes en votación económica aprobaron por mayoría de votos.</w:t>
      </w:r>
    </w:p>
    <w:p w:rsidR="00C304A7" w:rsidRPr="00467FAC" w:rsidRDefault="007E5AC8" w:rsidP="00467FAC">
      <w:pPr>
        <w:spacing w:after="284"/>
        <w:ind w:left="57" w:right="45" w:firstLine="2"/>
        <w:jc w:val="both"/>
        <w:rPr>
          <w:rFonts w:ascii="Century Gothic" w:hAnsi="Century Gothic"/>
        </w:rPr>
      </w:pPr>
      <w:r w:rsidRPr="00467FAC">
        <w:rPr>
          <w:rFonts w:ascii="Century Gothic" w:hAnsi="Century Gothic"/>
        </w:rPr>
        <w:tab/>
      </w:r>
      <w:r w:rsidR="00C304A7" w:rsidRPr="00467FAC">
        <w:rPr>
          <w:rFonts w:ascii="Century Gothic" w:hAnsi="Century Gothic"/>
        </w:rPr>
        <w:t>En rel</w:t>
      </w:r>
      <w:r w:rsidRPr="00467FAC">
        <w:rPr>
          <w:rFonts w:ascii="Century Gothic" w:hAnsi="Century Gothic"/>
        </w:rPr>
        <w:t>ación al punto número 3 tres, la</w:t>
      </w:r>
      <w:r w:rsidR="00C304A7" w:rsidRPr="00467FAC">
        <w:rPr>
          <w:rFonts w:ascii="Century Gothic" w:hAnsi="Century Gothic"/>
        </w:rPr>
        <w:t xml:space="preserve"> Titular de la Unidad de Transparencia de conformidad a lo dispuesto por los artí</w:t>
      </w:r>
      <w:r w:rsidR="008722F5" w:rsidRPr="00467FAC">
        <w:rPr>
          <w:rFonts w:ascii="Century Gothic" w:hAnsi="Century Gothic"/>
        </w:rPr>
        <w:t>culos 6 fracción l, 7, 8, 10, 1</w:t>
      </w:r>
      <w:r w:rsidR="00C304A7" w:rsidRPr="00467FAC">
        <w:rPr>
          <w:rFonts w:ascii="Century Gothic" w:hAnsi="Century Gothic"/>
        </w:rPr>
        <w:t>1 12 del</w:t>
      </w:r>
      <w:r w:rsidR="008722F5" w:rsidRPr="00467FAC">
        <w:rPr>
          <w:rFonts w:ascii="Century Gothic" w:hAnsi="Century Gothic"/>
        </w:rPr>
        <w:t xml:space="preserve"> </w:t>
      </w:r>
      <w:r w:rsidR="00C304A7" w:rsidRPr="00467FAC">
        <w:rPr>
          <w:rFonts w:ascii="Century Gothic" w:hAnsi="Century Gothic"/>
        </w:rPr>
        <w:t>Reglamento a la ley de Transparencia y Acceso a la Información Pública del Est</w:t>
      </w:r>
      <w:r w:rsidR="008722F5" w:rsidRPr="00467FAC">
        <w:rPr>
          <w:rFonts w:ascii="Century Gothic" w:hAnsi="Century Gothic"/>
        </w:rPr>
        <w:t>ado de Jalisco y sus Municipios,</w:t>
      </w:r>
      <w:r w:rsidR="00C304A7" w:rsidRPr="00467FAC">
        <w:rPr>
          <w:rFonts w:ascii="Century Gothic" w:hAnsi="Century Gothic"/>
        </w:rPr>
        <w:t xml:space="preserve"> así como de conformidad con el artículo 28 y 30 fracción ll de la Ley de Transparencia y Acceso a la Información Pública del Estado de Jalisco y sus Municipios, expone lo siguiente:</w:t>
      </w:r>
    </w:p>
    <w:p w:rsidR="008722F5" w:rsidRPr="00467FAC" w:rsidRDefault="008722F5" w:rsidP="00467FAC">
      <w:pPr>
        <w:ind w:firstLine="708"/>
        <w:jc w:val="both"/>
        <w:rPr>
          <w:rFonts w:ascii="Century Gothic" w:hAnsi="Century Gothic"/>
        </w:rPr>
      </w:pPr>
      <w:r w:rsidRPr="00467FAC">
        <w:rPr>
          <w:rFonts w:ascii="Century Gothic" w:hAnsi="Century Gothic"/>
        </w:rPr>
        <w:t xml:space="preserve">Con fecha 09 nueve de enero de dos mil diecisiete, se recibió solicitud de información por medio de la oficialía de partes  de este Tribunal,  por parte del C. Jorge Humberto Rivero García, en la cual  solicita textualmente lo siguiente: </w:t>
      </w:r>
    </w:p>
    <w:p w:rsidR="008722F5" w:rsidRPr="00467FAC" w:rsidRDefault="008722F5" w:rsidP="008722F5">
      <w:pPr>
        <w:ind w:firstLine="708"/>
        <w:jc w:val="both"/>
        <w:rPr>
          <w:rFonts w:ascii="Century Gothic" w:hAnsi="Century Gothic"/>
          <w:i/>
          <w:sz w:val="20"/>
          <w:szCs w:val="20"/>
        </w:rPr>
      </w:pPr>
      <w:r>
        <w:rPr>
          <w:rFonts w:ascii="Century Gothic" w:hAnsi="Century Gothic"/>
        </w:rPr>
        <w:t>“</w:t>
      </w:r>
      <w:r w:rsidRPr="00467FAC">
        <w:rPr>
          <w:rFonts w:ascii="Century Gothic" w:hAnsi="Century Gothic"/>
          <w:sz w:val="20"/>
          <w:szCs w:val="20"/>
        </w:rPr>
        <w:t>La totalidad de expediente de responsabilidad patrimonial durante el año dos mil dieciséis, el monto del daño así como el nombre y el cargo, de los funcionarios que intervinieron en dicha responsabilidad</w:t>
      </w:r>
      <w:r w:rsidRPr="00467FAC">
        <w:rPr>
          <w:rFonts w:ascii="Century Gothic" w:hAnsi="Century Gothic"/>
          <w:i/>
          <w:sz w:val="20"/>
          <w:szCs w:val="20"/>
        </w:rPr>
        <w:t>”</w:t>
      </w:r>
    </w:p>
    <w:p w:rsidR="00467FAC" w:rsidRDefault="00467FAC" w:rsidP="008722F5">
      <w:pPr>
        <w:ind w:firstLine="708"/>
        <w:jc w:val="both"/>
        <w:rPr>
          <w:rFonts w:ascii="Century Gothic" w:hAnsi="Century Gothic"/>
        </w:rPr>
      </w:pPr>
    </w:p>
    <w:p w:rsidR="008722F5" w:rsidRDefault="008722F5" w:rsidP="008722F5">
      <w:pPr>
        <w:ind w:firstLine="708"/>
        <w:jc w:val="both"/>
        <w:rPr>
          <w:rFonts w:ascii="Century Gothic" w:hAnsi="Century Gothic"/>
        </w:rPr>
      </w:pPr>
      <w:r>
        <w:rPr>
          <w:rFonts w:ascii="Century Gothic" w:hAnsi="Century Gothic"/>
        </w:rPr>
        <w:t xml:space="preserve">Con fecha 10 diez  de enero  se tuvo por admitida la solicitud de información  asignándosele el número de expediente 14/2017 del índice de esta Unidad de Transparencia,  sin embargo, una vez que fue analizada dicha solicitud la Titular de esta Unidad advierte que la misma encuadra dentro de los supuestos del artículo 17 de la Ley de Transparencia y Acceso a la Información Pública del Estado de Jalisco y sus Municipios, que a la letra señala: </w:t>
      </w:r>
    </w:p>
    <w:p w:rsidR="008722F5" w:rsidRPr="00F05794" w:rsidRDefault="008722F5" w:rsidP="008722F5">
      <w:pPr>
        <w:pStyle w:val="Estilo"/>
        <w:rPr>
          <w:b/>
          <w:sz w:val="20"/>
          <w:szCs w:val="20"/>
        </w:rPr>
      </w:pPr>
      <w:r w:rsidRPr="00F05794">
        <w:rPr>
          <w:b/>
          <w:bCs/>
          <w:sz w:val="20"/>
          <w:szCs w:val="20"/>
        </w:rPr>
        <w:t>Artículo 17</w:t>
      </w:r>
      <w:r w:rsidRPr="00F05794">
        <w:rPr>
          <w:b/>
          <w:sz w:val="20"/>
          <w:szCs w:val="20"/>
        </w:rPr>
        <w:t>. Información reservada- Catálogo</w:t>
      </w:r>
    </w:p>
    <w:p w:rsidR="008722F5" w:rsidRPr="00CF31F6" w:rsidRDefault="008722F5" w:rsidP="008722F5">
      <w:pPr>
        <w:pStyle w:val="Estilo"/>
        <w:rPr>
          <w:sz w:val="20"/>
          <w:szCs w:val="20"/>
        </w:rPr>
      </w:pPr>
    </w:p>
    <w:p w:rsidR="008722F5" w:rsidRPr="00F05794" w:rsidRDefault="008722F5" w:rsidP="008722F5">
      <w:pPr>
        <w:pStyle w:val="Estilo"/>
        <w:rPr>
          <w:b/>
          <w:sz w:val="20"/>
          <w:szCs w:val="20"/>
          <w:u w:val="single"/>
        </w:rPr>
      </w:pPr>
      <w:r w:rsidRPr="00F05794">
        <w:rPr>
          <w:b/>
          <w:sz w:val="20"/>
          <w:szCs w:val="20"/>
          <w:u w:val="single"/>
        </w:rPr>
        <w:t>1. Es información reservada:</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lastRenderedPageBreak/>
        <w:t>I. Aquella información pública, cuya difusión:</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a) Comprometa la seguridad del Estado o del municipio, la seguridad pública estatal o municipal, o la seguridad e integridad de quienes laboran o hubieren laborado en estas áreas, con excepción de las remuneraciones de dichos servidores públicos;</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b) Dañe la estabilidad financiera o económica del Estado o de los municipios;</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c) Ponga en riesgo la vida, seguridad o salud de cualquier persona;</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d) Cause perjuicio grave a las actividades de verificación, inspección y auditoría, relativas al cumplimiento de las leyes y reglamentos;</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e) Cause perjuicio grave a la recaudación de las contribuciones;</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f) Cause perjuicio grave a las actividades de prevención y persecución de los delitos, o de impartición de la justicia; o</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g) Cause perjuicio grave a las estrategias procesales en procesos judiciales o procedimientos administrativos cuyas resoluciones no hayan causado estado;</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II. Las carpetas de investigación, excepto cuando se trate de violaciones graves de derechos humanos o delitos de lesa humanidad, o se trate de información relacionada con actos de corrupción de acuerdo con las leyes aplicables;</w:t>
      </w:r>
    </w:p>
    <w:p w:rsidR="008722F5" w:rsidRPr="00CF31F6" w:rsidRDefault="008722F5" w:rsidP="008722F5">
      <w:pPr>
        <w:pStyle w:val="Estilo"/>
        <w:rPr>
          <w:sz w:val="20"/>
          <w:szCs w:val="20"/>
        </w:rPr>
      </w:pPr>
    </w:p>
    <w:p w:rsidR="008722F5" w:rsidRPr="00F05794" w:rsidRDefault="008722F5" w:rsidP="008722F5">
      <w:pPr>
        <w:pStyle w:val="Estilo"/>
        <w:rPr>
          <w:b/>
          <w:sz w:val="20"/>
          <w:szCs w:val="20"/>
          <w:u w:val="single"/>
        </w:rPr>
      </w:pPr>
      <w:r w:rsidRPr="00F05794">
        <w:rPr>
          <w:b/>
          <w:sz w:val="20"/>
          <w:szCs w:val="20"/>
          <w:u w:val="single"/>
        </w:rPr>
        <w:t>III. Los expedientes judiciales en tanto no causen estado;</w:t>
      </w:r>
    </w:p>
    <w:p w:rsidR="008722F5" w:rsidRPr="00F05794" w:rsidRDefault="008722F5" w:rsidP="008722F5">
      <w:pPr>
        <w:pStyle w:val="Estilo"/>
        <w:rPr>
          <w:b/>
          <w:sz w:val="20"/>
          <w:szCs w:val="20"/>
          <w:u w:val="single"/>
        </w:rPr>
      </w:pPr>
    </w:p>
    <w:p w:rsidR="008722F5" w:rsidRPr="00F05794" w:rsidRDefault="008722F5" w:rsidP="008722F5">
      <w:pPr>
        <w:pStyle w:val="Estilo"/>
        <w:rPr>
          <w:b/>
          <w:sz w:val="20"/>
          <w:szCs w:val="20"/>
          <w:u w:val="single"/>
        </w:rPr>
      </w:pPr>
      <w:r w:rsidRPr="00F05794">
        <w:rPr>
          <w:b/>
          <w:sz w:val="20"/>
          <w:szCs w:val="20"/>
          <w:u w:val="single"/>
        </w:rPr>
        <w:t>IV. Los expedientes de los procedimientos administrativos seguidos en forma de juicio en tanto no causen estado;</w:t>
      </w:r>
    </w:p>
    <w:p w:rsidR="008722F5" w:rsidRPr="00F05794" w:rsidRDefault="008722F5" w:rsidP="008722F5">
      <w:pPr>
        <w:pStyle w:val="Estilo"/>
        <w:rPr>
          <w:b/>
          <w:sz w:val="20"/>
          <w:szCs w:val="20"/>
          <w:u w:val="single"/>
        </w:rPr>
      </w:pPr>
    </w:p>
    <w:p w:rsidR="008722F5" w:rsidRPr="00F05794" w:rsidRDefault="008722F5" w:rsidP="008722F5">
      <w:pPr>
        <w:pStyle w:val="Estilo"/>
        <w:rPr>
          <w:b/>
          <w:sz w:val="20"/>
          <w:szCs w:val="20"/>
          <w:u w:val="single"/>
        </w:rPr>
      </w:pPr>
      <w:r w:rsidRPr="00F05794">
        <w:rPr>
          <w:b/>
          <w:sz w:val="20"/>
          <w:szCs w:val="20"/>
          <w:u w:val="single"/>
        </w:rPr>
        <w:t>V. Los procedimientos de responsabilidad de los servidores públicos, en tanto no se dicte la resolución administrativa o la jurisdiccional definitiva;</w:t>
      </w:r>
    </w:p>
    <w:p w:rsidR="00BC407F" w:rsidRPr="00F05794" w:rsidRDefault="00BC407F" w:rsidP="008722F5">
      <w:pPr>
        <w:pStyle w:val="Estilo"/>
        <w:rPr>
          <w:b/>
          <w:sz w:val="20"/>
          <w:szCs w:val="20"/>
          <w:u w:val="single"/>
        </w:rPr>
      </w:pPr>
    </w:p>
    <w:p w:rsidR="008722F5" w:rsidRPr="00CF31F6" w:rsidRDefault="008722F5" w:rsidP="008722F5">
      <w:pPr>
        <w:pStyle w:val="Estilo"/>
        <w:rPr>
          <w:sz w:val="20"/>
          <w:szCs w:val="20"/>
        </w:rPr>
      </w:pPr>
      <w:r w:rsidRPr="00CF31F6">
        <w:rPr>
          <w:sz w:val="20"/>
          <w:szCs w:val="20"/>
        </w:rPr>
        <w:t>VI. Derogada</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VII. La entregada con carácter reservada o confidencial por autoridades federales o de otros estados, o por organismos internacionales;</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VIII.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w:t>
      </w:r>
    </w:p>
    <w:p w:rsidR="008722F5" w:rsidRPr="00CF31F6" w:rsidRDefault="008722F5" w:rsidP="008722F5">
      <w:pPr>
        <w:pStyle w:val="Estilo"/>
        <w:rPr>
          <w:sz w:val="20"/>
          <w:szCs w:val="20"/>
        </w:rPr>
      </w:pPr>
    </w:p>
    <w:p w:rsidR="008722F5" w:rsidRPr="00CF31F6" w:rsidRDefault="008722F5" w:rsidP="008722F5">
      <w:pPr>
        <w:pStyle w:val="Estilo"/>
        <w:rPr>
          <w:sz w:val="20"/>
          <w:szCs w:val="20"/>
        </w:rPr>
      </w:pPr>
      <w:r w:rsidRPr="00CF31F6">
        <w:rPr>
          <w:sz w:val="20"/>
          <w:szCs w:val="20"/>
        </w:rPr>
        <w:t>IX. Las bases de datos, preguntas o reactivos para la aplicación de exámenes de admisión académica, evaluación psicológica, concursos de oposición o equivalentes, y</w:t>
      </w:r>
    </w:p>
    <w:p w:rsidR="008722F5" w:rsidRPr="00BC407F" w:rsidRDefault="008722F5" w:rsidP="008722F5">
      <w:pPr>
        <w:pStyle w:val="Estilo"/>
        <w:rPr>
          <w:b/>
          <w:sz w:val="20"/>
          <w:szCs w:val="20"/>
          <w:u w:val="single"/>
        </w:rPr>
      </w:pPr>
    </w:p>
    <w:p w:rsidR="008722F5" w:rsidRPr="00BC407F" w:rsidRDefault="008722F5" w:rsidP="008722F5">
      <w:pPr>
        <w:pStyle w:val="Estilo"/>
        <w:rPr>
          <w:b/>
          <w:sz w:val="20"/>
          <w:szCs w:val="20"/>
          <w:u w:val="single"/>
        </w:rPr>
      </w:pPr>
      <w:r w:rsidRPr="00BC407F">
        <w:rPr>
          <w:b/>
          <w:sz w:val="20"/>
          <w:szCs w:val="20"/>
          <w:u w:val="single"/>
        </w:rPr>
        <w:t>X. La considerada como reservada por disposición legal expresa.</w:t>
      </w:r>
    </w:p>
    <w:p w:rsidR="008722F5" w:rsidRPr="00CF31F6" w:rsidRDefault="008722F5" w:rsidP="008722F5">
      <w:pPr>
        <w:pStyle w:val="Estilo"/>
        <w:rPr>
          <w:sz w:val="20"/>
          <w:szCs w:val="20"/>
        </w:rPr>
      </w:pPr>
    </w:p>
    <w:p w:rsidR="008722F5" w:rsidRDefault="008722F5" w:rsidP="008722F5">
      <w:pPr>
        <w:spacing w:after="177"/>
        <w:ind w:left="57" w:right="45" w:firstLine="2"/>
        <w:jc w:val="both"/>
        <w:rPr>
          <w:rFonts w:ascii="Century Gothic" w:hAnsi="Century Gothic"/>
        </w:rPr>
      </w:pPr>
    </w:p>
    <w:p w:rsidR="00C304A7" w:rsidRPr="00BC407F" w:rsidRDefault="008722F5" w:rsidP="00DE3BBB">
      <w:pPr>
        <w:pStyle w:val="Prrafodelista"/>
        <w:numPr>
          <w:ilvl w:val="0"/>
          <w:numId w:val="1"/>
        </w:numPr>
        <w:tabs>
          <w:tab w:val="clear" w:pos="720"/>
          <w:tab w:val="num" w:pos="0"/>
        </w:tabs>
        <w:spacing w:after="28"/>
        <w:ind w:left="0" w:firstLine="0"/>
        <w:jc w:val="both"/>
        <w:rPr>
          <w:rFonts w:ascii="Century Gothic" w:eastAsia="Calibri" w:hAnsi="Century Gothic" w:cs="Calibri"/>
        </w:rPr>
      </w:pPr>
      <w:r w:rsidRPr="00BC407F">
        <w:rPr>
          <w:rFonts w:ascii="Century Gothic" w:eastAsia="Calibri" w:hAnsi="Century Gothic" w:cs="Calibri"/>
        </w:rPr>
        <w:t>Debido a l</w:t>
      </w:r>
      <w:r w:rsidR="00C304A7" w:rsidRPr="00BC407F">
        <w:rPr>
          <w:rFonts w:ascii="Century Gothic" w:eastAsia="Calibri" w:hAnsi="Century Gothic" w:cs="Calibri"/>
        </w:rPr>
        <w:t xml:space="preserve">o anterior y toda vez que </w:t>
      </w:r>
      <w:r w:rsidRPr="00BC407F">
        <w:rPr>
          <w:rFonts w:ascii="Century Gothic" w:eastAsia="Calibri" w:hAnsi="Century Gothic" w:cs="Calibri"/>
        </w:rPr>
        <w:t xml:space="preserve"> se considera  que l</w:t>
      </w:r>
      <w:r w:rsidR="00C304A7" w:rsidRPr="00BC407F">
        <w:rPr>
          <w:rFonts w:ascii="Century Gothic" w:eastAsia="Calibri" w:hAnsi="Century Gothic" w:cs="Calibri"/>
        </w:rPr>
        <w:t xml:space="preserve">a información requerida es de carácter </w:t>
      </w:r>
      <w:r w:rsidR="00C304A7" w:rsidRPr="00BC407F">
        <w:rPr>
          <w:rFonts w:ascii="Century Gothic" w:hAnsi="Century Gothic"/>
        </w:rPr>
        <w:t>reservado</w:t>
      </w:r>
      <w:r w:rsidRPr="00BC407F">
        <w:rPr>
          <w:rFonts w:ascii="Century Gothic" w:hAnsi="Century Gothic"/>
        </w:rPr>
        <w:t xml:space="preserve"> según lo contemplado por el artículo 17 de la Ley de la materia, en sus fracciones III, IV y VI, </w:t>
      </w:r>
      <w:r w:rsidR="00C304A7" w:rsidRPr="00BC407F">
        <w:rPr>
          <w:rFonts w:ascii="Century Gothic" w:hAnsi="Century Gothic"/>
        </w:rPr>
        <w:t xml:space="preserve"> se tiene a bien poner a disposición del Comité de Transparencia el </w:t>
      </w:r>
      <w:r w:rsidR="00A252D8">
        <w:rPr>
          <w:rFonts w:ascii="Century Gothic" w:eastAsia="Calibri" w:hAnsi="Century Gothic" w:cs="Calibri"/>
        </w:rPr>
        <w:t>e</w:t>
      </w:r>
      <w:r w:rsidR="00C304A7" w:rsidRPr="00BC407F">
        <w:rPr>
          <w:rFonts w:ascii="Century Gothic" w:eastAsia="Calibri" w:hAnsi="Century Gothic" w:cs="Calibri"/>
        </w:rPr>
        <w:t xml:space="preserve">studio correspondiente </w:t>
      </w:r>
      <w:r w:rsidR="007D78F3">
        <w:rPr>
          <w:rFonts w:ascii="Century Gothic" w:eastAsia="Calibri" w:hAnsi="Century Gothic" w:cs="Calibri"/>
        </w:rPr>
        <w:t xml:space="preserve"> para su reserva </w:t>
      </w:r>
      <w:r w:rsidR="00C304A7" w:rsidRPr="00BC407F">
        <w:rPr>
          <w:rFonts w:ascii="Century Gothic" w:eastAsia="Calibri" w:hAnsi="Century Gothic" w:cs="Calibri"/>
        </w:rPr>
        <w:t xml:space="preserve">y en su </w:t>
      </w:r>
      <w:r w:rsidR="00C304A7" w:rsidRPr="00BC407F">
        <w:rPr>
          <w:rFonts w:ascii="Century Gothic" w:eastAsia="Calibri" w:hAnsi="Century Gothic" w:cs="Calibri"/>
        </w:rPr>
        <w:lastRenderedPageBreak/>
        <w:t>caso el dictamen de su procedencia</w:t>
      </w:r>
      <w:r w:rsidR="00C304A7" w:rsidRPr="007E5AC8">
        <w:rPr>
          <w:noProof/>
        </w:rPr>
        <w:drawing>
          <wp:inline distT="0" distB="0" distL="0" distR="0">
            <wp:extent cx="3791" cy="3791"/>
            <wp:effectExtent l="0" t="0" r="0" b="0"/>
            <wp:docPr id="4313" name="Picture 4313"/>
            <wp:cNvGraphicFramePr/>
            <a:graphic xmlns:a="http://schemas.openxmlformats.org/drawingml/2006/main">
              <a:graphicData uri="http://schemas.openxmlformats.org/drawingml/2006/picture">
                <pic:pic xmlns:pic="http://schemas.openxmlformats.org/drawingml/2006/picture">
                  <pic:nvPicPr>
                    <pic:cNvPr id="4313" name="Picture 4313"/>
                    <pic:cNvPicPr/>
                  </pic:nvPicPr>
                  <pic:blipFill>
                    <a:blip r:embed="rId5"/>
                    <a:stretch>
                      <a:fillRect/>
                    </a:stretch>
                  </pic:blipFill>
                  <pic:spPr>
                    <a:xfrm>
                      <a:off x="0" y="0"/>
                      <a:ext cx="3791" cy="3791"/>
                    </a:xfrm>
                    <a:prstGeom prst="rect">
                      <a:avLst/>
                    </a:prstGeom>
                  </pic:spPr>
                </pic:pic>
              </a:graphicData>
            </a:graphic>
          </wp:inline>
        </w:drawing>
      </w:r>
      <w:r w:rsidRPr="00BC407F">
        <w:rPr>
          <w:rFonts w:ascii="Century Gothic" w:eastAsia="Calibri" w:hAnsi="Century Gothic" w:cs="Calibri"/>
        </w:rPr>
        <w:t>, e</w:t>
      </w:r>
      <w:r w:rsidR="00C304A7" w:rsidRPr="00BC407F">
        <w:rPr>
          <w:rFonts w:ascii="Century Gothic" w:eastAsia="Calibri" w:hAnsi="Century Gothic" w:cs="Calibri"/>
        </w:rPr>
        <w:t>n virtud de lo cual procedemos acorde a la Legislación en la Materia a elaborar la Prueba de Daño de la siguiente manera:</w:t>
      </w:r>
    </w:p>
    <w:p w:rsidR="00BC407F" w:rsidRPr="00BC407F" w:rsidRDefault="00BC407F" w:rsidP="00BC407F">
      <w:pPr>
        <w:pStyle w:val="Prrafodelista"/>
        <w:numPr>
          <w:ilvl w:val="0"/>
          <w:numId w:val="1"/>
        </w:numPr>
        <w:spacing w:after="28"/>
        <w:jc w:val="both"/>
        <w:rPr>
          <w:rFonts w:ascii="Century Gothic" w:hAnsi="Century Gothic"/>
        </w:rPr>
      </w:pPr>
    </w:p>
    <w:p w:rsidR="00BC407F" w:rsidRDefault="00C304A7" w:rsidP="00BC407F">
      <w:pPr>
        <w:pStyle w:val="Estilo"/>
        <w:rPr>
          <w:b/>
          <w:bCs/>
          <w:sz w:val="20"/>
          <w:szCs w:val="20"/>
        </w:rPr>
      </w:pPr>
      <w:r w:rsidRPr="007E5AC8">
        <w:rPr>
          <w:rFonts w:ascii="Century Gothic" w:hAnsi="Century Gothic" w:cs="Calibri"/>
          <w:sz w:val="22"/>
          <w:szCs w:val="22"/>
        </w:rPr>
        <w:t xml:space="preserve">Según lo dispuesto por el numeral 18 de la citada ley que a la letra dice </w:t>
      </w:r>
      <w:r w:rsidRPr="007E5AC8">
        <w:rPr>
          <w:rFonts w:ascii="Century Gothic" w:hAnsi="Century Gothic"/>
          <w:noProof/>
          <w:sz w:val="22"/>
          <w:szCs w:val="22"/>
          <w:lang w:eastAsia="es-MX"/>
        </w:rPr>
        <w:drawing>
          <wp:inline distT="0" distB="0" distL="0" distR="0">
            <wp:extent cx="34122" cy="98575"/>
            <wp:effectExtent l="0" t="0" r="0" b="0"/>
            <wp:docPr id="23535" name="Picture 23535"/>
            <wp:cNvGraphicFramePr/>
            <a:graphic xmlns:a="http://schemas.openxmlformats.org/drawingml/2006/main">
              <a:graphicData uri="http://schemas.openxmlformats.org/drawingml/2006/picture">
                <pic:pic xmlns:pic="http://schemas.openxmlformats.org/drawingml/2006/picture">
                  <pic:nvPicPr>
                    <pic:cNvPr id="23535" name="Picture 23535"/>
                    <pic:cNvPicPr/>
                  </pic:nvPicPr>
                  <pic:blipFill>
                    <a:blip r:embed="rId6" cstate="print"/>
                    <a:stretch>
                      <a:fillRect/>
                    </a:stretch>
                  </pic:blipFill>
                  <pic:spPr>
                    <a:xfrm>
                      <a:off x="0" y="0"/>
                      <a:ext cx="34122" cy="98575"/>
                    </a:xfrm>
                    <a:prstGeom prst="rect">
                      <a:avLst/>
                    </a:prstGeom>
                  </pic:spPr>
                </pic:pic>
              </a:graphicData>
            </a:graphic>
          </wp:inline>
        </w:drawing>
      </w:r>
      <w:r w:rsidR="00BC407F" w:rsidRPr="00BC407F">
        <w:rPr>
          <w:b/>
          <w:bCs/>
          <w:sz w:val="20"/>
          <w:szCs w:val="20"/>
        </w:rPr>
        <w:t xml:space="preserve"> </w:t>
      </w:r>
    </w:p>
    <w:p w:rsidR="00BC407F" w:rsidRDefault="00BC407F" w:rsidP="00BC407F">
      <w:pPr>
        <w:pStyle w:val="Estilo"/>
        <w:rPr>
          <w:b/>
          <w:bCs/>
          <w:sz w:val="20"/>
          <w:szCs w:val="20"/>
        </w:rPr>
      </w:pPr>
    </w:p>
    <w:p w:rsidR="00BC407F" w:rsidRPr="00CF31F6" w:rsidRDefault="00BC407F" w:rsidP="00BC407F">
      <w:pPr>
        <w:pStyle w:val="Estilo"/>
        <w:rPr>
          <w:sz w:val="20"/>
          <w:szCs w:val="20"/>
        </w:rPr>
      </w:pPr>
      <w:r w:rsidRPr="00CF31F6">
        <w:rPr>
          <w:b/>
          <w:bCs/>
          <w:sz w:val="20"/>
          <w:szCs w:val="20"/>
        </w:rPr>
        <w:t>Artículo 18.</w:t>
      </w:r>
      <w:r w:rsidRPr="00CF31F6">
        <w:rPr>
          <w:sz w:val="20"/>
          <w:szCs w:val="20"/>
        </w:rPr>
        <w:t xml:space="preserve"> Inf</w:t>
      </w:r>
      <w:r w:rsidRPr="00CF31F6">
        <w:rPr>
          <w:b/>
          <w:bCs/>
          <w:sz w:val="20"/>
          <w:szCs w:val="20"/>
        </w:rPr>
        <w:t>o</w:t>
      </w:r>
      <w:r w:rsidRPr="00CF31F6">
        <w:rPr>
          <w:sz w:val="20"/>
          <w:szCs w:val="20"/>
        </w:rPr>
        <w:t>rmación reservada- Negación</w:t>
      </w:r>
    </w:p>
    <w:p w:rsidR="00BC407F" w:rsidRPr="00CF31F6" w:rsidRDefault="00BC407F" w:rsidP="00BC407F">
      <w:pPr>
        <w:pStyle w:val="Estilo"/>
        <w:rPr>
          <w:sz w:val="20"/>
          <w:szCs w:val="20"/>
        </w:rPr>
      </w:pPr>
    </w:p>
    <w:p w:rsidR="00BC407F" w:rsidRPr="00BC407F" w:rsidRDefault="00BC407F" w:rsidP="00BC407F">
      <w:pPr>
        <w:pStyle w:val="Estilo"/>
        <w:rPr>
          <w:sz w:val="20"/>
          <w:szCs w:val="20"/>
          <w:u w:val="single"/>
        </w:rPr>
      </w:pPr>
      <w:r w:rsidRPr="00BC407F">
        <w:rPr>
          <w:sz w:val="20"/>
          <w:szCs w:val="20"/>
          <w:u w:val="single"/>
        </w:rPr>
        <w:t>1. Para negar el acceso o entrega de información reservada, los sujetos obligados deben justificar lo siguiente:</w:t>
      </w:r>
    </w:p>
    <w:p w:rsidR="00BC407F" w:rsidRPr="00BC407F" w:rsidRDefault="00BC407F" w:rsidP="00BC407F">
      <w:pPr>
        <w:pStyle w:val="Estilo"/>
        <w:rPr>
          <w:sz w:val="20"/>
          <w:szCs w:val="20"/>
          <w:u w:val="single"/>
        </w:rPr>
      </w:pPr>
    </w:p>
    <w:p w:rsidR="00BC407F" w:rsidRPr="00BC407F" w:rsidRDefault="00BC407F" w:rsidP="00BC407F">
      <w:pPr>
        <w:pStyle w:val="Estilo"/>
        <w:rPr>
          <w:sz w:val="20"/>
          <w:szCs w:val="20"/>
          <w:u w:val="single"/>
        </w:rPr>
      </w:pPr>
      <w:r w:rsidRPr="00BC407F">
        <w:rPr>
          <w:sz w:val="20"/>
          <w:szCs w:val="20"/>
          <w:u w:val="single"/>
        </w:rPr>
        <w:t>I. La información solicitada se encuentra prevista en alguna de las hipótesis de reserva que establece la ley;</w:t>
      </w:r>
    </w:p>
    <w:p w:rsidR="00BC407F" w:rsidRPr="00BC407F" w:rsidRDefault="00BC407F" w:rsidP="00BC407F">
      <w:pPr>
        <w:pStyle w:val="Estilo"/>
        <w:rPr>
          <w:sz w:val="20"/>
          <w:szCs w:val="20"/>
          <w:u w:val="single"/>
        </w:rPr>
      </w:pPr>
    </w:p>
    <w:p w:rsidR="00BC407F" w:rsidRPr="00CF31F6" w:rsidRDefault="00BC407F" w:rsidP="00BC407F">
      <w:pPr>
        <w:pStyle w:val="Estilo"/>
        <w:rPr>
          <w:sz w:val="20"/>
          <w:szCs w:val="20"/>
        </w:rPr>
      </w:pPr>
      <w:r w:rsidRPr="00CF31F6">
        <w:rPr>
          <w:sz w:val="20"/>
          <w:szCs w:val="20"/>
        </w:rPr>
        <w:t>II. La divulgación de dicha información atente efectivamente el interés público protegido por la ley, representando un riesgo real, demostrable e identificable de perjuicio significativo al interés público o a la seguridad estatal;</w:t>
      </w:r>
    </w:p>
    <w:p w:rsidR="00BC407F" w:rsidRPr="00CF31F6" w:rsidRDefault="00BC407F" w:rsidP="00BC407F">
      <w:pPr>
        <w:pStyle w:val="Estilo"/>
        <w:rPr>
          <w:sz w:val="20"/>
          <w:szCs w:val="20"/>
        </w:rPr>
      </w:pPr>
    </w:p>
    <w:p w:rsidR="00BC407F" w:rsidRPr="00CF31F6" w:rsidRDefault="00BC407F" w:rsidP="00BC407F">
      <w:pPr>
        <w:pStyle w:val="Estilo"/>
        <w:rPr>
          <w:sz w:val="20"/>
          <w:szCs w:val="20"/>
        </w:rPr>
      </w:pPr>
      <w:r w:rsidRPr="00CF31F6">
        <w:rPr>
          <w:sz w:val="20"/>
          <w:szCs w:val="20"/>
        </w:rPr>
        <w:t>III. El daño o el riesgo de perjuicio que se produciría con la revelación de la información supera el interés público general de conocer la información de referencia; y</w:t>
      </w:r>
    </w:p>
    <w:p w:rsidR="00BC407F" w:rsidRPr="00CF31F6" w:rsidRDefault="00BC407F" w:rsidP="00BC407F">
      <w:pPr>
        <w:pStyle w:val="Estilo"/>
        <w:rPr>
          <w:sz w:val="20"/>
          <w:szCs w:val="20"/>
        </w:rPr>
      </w:pPr>
    </w:p>
    <w:p w:rsidR="00BC407F" w:rsidRPr="00CF31F6" w:rsidRDefault="00BC407F" w:rsidP="00BC407F">
      <w:pPr>
        <w:pStyle w:val="Estilo"/>
        <w:rPr>
          <w:sz w:val="20"/>
          <w:szCs w:val="20"/>
        </w:rPr>
      </w:pPr>
      <w:r w:rsidRPr="00CF31F6">
        <w:rPr>
          <w:sz w:val="20"/>
          <w:szCs w:val="20"/>
        </w:rPr>
        <w:t>IV. La limitación se adecua al principio de proporcionalidad y representa el medio menos restrictivo disponible para evitar el perjuicio.</w:t>
      </w:r>
    </w:p>
    <w:p w:rsidR="00BC407F" w:rsidRPr="00CF31F6" w:rsidRDefault="00BC407F" w:rsidP="00BC407F">
      <w:pPr>
        <w:pStyle w:val="Estilo"/>
        <w:rPr>
          <w:sz w:val="20"/>
          <w:szCs w:val="20"/>
        </w:rPr>
      </w:pPr>
    </w:p>
    <w:p w:rsidR="00BC407F" w:rsidRPr="00CF31F6" w:rsidRDefault="00BC407F" w:rsidP="00BC407F">
      <w:pPr>
        <w:pStyle w:val="Estilo"/>
        <w:rPr>
          <w:sz w:val="20"/>
          <w:szCs w:val="20"/>
        </w:rPr>
      </w:pPr>
      <w:r w:rsidRPr="00CF31F6">
        <w:rPr>
          <w:sz w:val="20"/>
          <w:szCs w:val="20"/>
        </w:rPr>
        <w:t>2. 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BC407F" w:rsidRPr="00CF31F6" w:rsidRDefault="00BC407F" w:rsidP="00BC407F">
      <w:pPr>
        <w:pStyle w:val="Estilo"/>
        <w:rPr>
          <w:sz w:val="20"/>
          <w:szCs w:val="20"/>
        </w:rPr>
      </w:pPr>
    </w:p>
    <w:p w:rsidR="00BC407F" w:rsidRPr="00CF31F6" w:rsidRDefault="00BC407F" w:rsidP="00BC407F">
      <w:pPr>
        <w:pStyle w:val="Estilo"/>
        <w:rPr>
          <w:sz w:val="20"/>
          <w:szCs w:val="20"/>
        </w:rPr>
      </w:pPr>
      <w:r w:rsidRPr="00CF31F6">
        <w:rPr>
          <w:sz w:val="20"/>
          <w:szCs w:val="20"/>
        </w:rPr>
        <w:t>3. La información pública que deje de considerarse como reservada pasará a la categoría de información de libre acceso, sin necesidad de acuerdo previo.</w:t>
      </w:r>
    </w:p>
    <w:p w:rsidR="00BC407F" w:rsidRPr="00CF31F6" w:rsidRDefault="00BC407F" w:rsidP="00BC407F">
      <w:pPr>
        <w:pStyle w:val="Estilo"/>
        <w:rPr>
          <w:sz w:val="20"/>
          <w:szCs w:val="20"/>
        </w:rPr>
      </w:pPr>
    </w:p>
    <w:p w:rsidR="00BC407F" w:rsidRPr="00CF31F6" w:rsidRDefault="00BC407F" w:rsidP="00BC407F">
      <w:pPr>
        <w:pStyle w:val="Estilo"/>
        <w:rPr>
          <w:sz w:val="20"/>
          <w:szCs w:val="20"/>
        </w:rPr>
      </w:pPr>
      <w:r w:rsidRPr="00CF31F6">
        <w:rPr>
          <w:sz w:val="20"/>
          <w:szCs w:val="20"/>
        </w:rPr>
        <w:t>4. En todo momento el Instituto tendrá acceso a la información reservada y confidencial para determinar su debida clasificación, desclasificación o permitir su acceso.</w:t>
      </w:r>
    </w:p>
    <w:p w:rsidR="00BC407F" w:rsidRPr="00CF31F6" w:rsidRDefault="00BC407F" w:rsidP="00BC407F">
      <w:pPr>
        <w:pStyle w:val="Estilo"/>
        <w:rPr>
          <w:sz w:val="20"/>
          <w:szCs w:val="20"/>
        </w:rPr>
      </w:pPr>
    </w:p>
    <w:p w:rsidR="00BC407F" w:rsidRPr="00CF31F6" w:rsidRDefault="00BC407F" w:rsidP="00BC407F">
      <w:pPr>
        <w:pStyle w:val="Estilo"/>
        <w:rPr>
          <w:sz w:val="20"/>
          <w:szCs w:val="20"/>
        </w:rPr>
      </w:pPr>
      <w:r w:rsidRPr="00CF31F6">
        <w:rPr>
          <w:sz w:val="20"/>
          <w:szCs w:val="20"/>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BC407F" w:rsidRPr="00467FAC" w:rsidRDefault="00BC407F" w:rsidP="00467FAC">
      <w:pPr>
        <w:spacing w:after="322"/>
        <w:ind w:left="27" w:right="9" w:firstLine="26"/>
        <w:jc w:val="both"/>
        <w:rPr>
          <w:rFonts w:ascii="Century Gothic" w:eastAsia="Calibri" w:hAnsi="Century Gothic" w:cs="Calibri"/>
        </w:rPr>
      </w:pPr>
    </w:p>
    <w:p w:rsidR="00C304A7" w:rsidRPr="00467FAC" w:rsidRDefault="00BC407F" w:rsidP="00467FAC">
      <w:pPr>
        <w:pStyle w:val="Estilo"/>
        <w:spacing w:line="276" w:lineRule="auto"/>
        <w:rPr>
          <w:rFonts w:ascii="Century Gothic" w:hAnsi="Century Gothic"/>
          <w:sz w:val="22"/>
          <w:szCs w:val="22"/>
        </w:rPr>
      </w:pPr>
      <w:r w:rsidRPr="00467FAC">
        <w:rPr>
          <w:rFonts w:ascii="Century Gothic" w:hAnsi="Century Gothic" w:cs="Calibri"/>
        </w:rPr>
        <w:tab/>
      </w:r>
      <w:r w:rsidRPr="00467FAC">
        <w:rPr>
          <w:rFonts w:ascii="Century Gothic" w:hAnsi="Century Gothic" w:cs="Calibri"/>
          <w:sz w:val="22"/>
          <w:szCs w:val="22"/>
        </w:rPr>
        <w:t xml:space="preserve">Por lo anterior se establece en primer lugar, que en el caso que nos ocupa la Ley de la materia, establece en su artículo 17, fracciones </w:t>
      </w:r>
      <w:r w:rsidRPr="00467FAC">
        <w:rPr>
          <w:rFonts w:ascii="Century Gothic" w:hAnsi="Century Gothic"/>
          <w:sz w:val="22"/>
          <w:szCs w:val="22"/>
        </w:rPr>
        <w:t>III, IV y V, que se cataloga como información reservada,  los expedientes judiciales en tanto no causen estado,  los expedientes de los procedimientos administrativos seguidos en forma de juicio en tanto no causen estado, y  los procedimientos de responsabilidad de los servidores públicos, en tanto no se dicte la resolución administrativa o la jurisdiccional definitiva</w:t>
      </w:r>
      <w:r w:rsidR="00DE3BBB" w:rsidRPr="00467FAC">
        <w:rPr>
          <w:rFonts w:ascii="Century Gothic" w:hAnsi="Century Gothic"/>
          <w:sz w:val="22"/>
          <w:szCs w:val="22"/>
        </w:rPr>
        <w:t xml:space="preserve">, </w:t>
      </w:r>
      <w:r w:rsidR="00C304A7" w:rsidRPr="00467FAC">
        <w:rPr>
          <w:rFonts w:ascii="Century Gothic" w:hAnsi="Century Gothic"/>
          <w:sz w:val="22"/>
          <w:szCs w:val="22"/>
        </w:rPr>
        <w:t xml:space="preserve"> así como la fracción X décima menciona que es información reservada</w:t>
      </w:r>
      <w:r w:rsidR="00DE3BBB" w:rsidRPr="00467FAC">
        <w:rPr>
          <w:rFonts w:ascii="Century Gothic" w:hAnsi="Century Gothic"/>
          <w:sz w:val="22"/>
          <w:szCs w:val="22"/>
        </w:rPr>
        <w:t xml:space="preserve"> l</w:t>
      </w:r>
      <w:r w:rsidR="00C304A7" w:rsidRPr="00467FAC">
        <w:rPr>
          <w:rFonts w:ascii="Century Gothic" w:hAnsi="Century Gothic"/>
          <w:sz w:val="22"/>
          <w:szCs w:val="22"/>
        </w:rPr>
        <w:t>a considerada como reservad</w:t>
      </w:r>
      <w:r w:rsidR="00DE3BBB" w:rsidRPr="00467FAC">
        <w:rPr>
          <w:rFonts w:ascii="Century Gothic" w:hAnsi="Century Gothic"/>
          <w:sz w:val="22"/>
          <w:szCs w:val="22"/>
        </w:rPr>
        <w:t xml:space="preserve">a por disposición legal expresa, siendo que en el caso que nos ocupa </w:t>
      </w:r>
      <w:r w:rsidR="00C304A7" w:rsidRPr="00467FAC">
        <w:rPr>
          <w:rFonts w:ascii="Century Gothic" w:hAnsi="Century Gothic"/>
          <w:sz w:val="22"/>
          <w:szCs w:val="22"/>
        </w:rPr>
        <w:t xml:space="preserve">esta información se encuentra clasificada como reservada acorde </w:t>
      </w:r>
      <w:r w:rsidR="00DE3BBB" w:rsidRPr="00467FAC">
        <w:rPr>
          <w:rFonts w:ascii="Century Gothic" w:hAnsi="Century Gothic"/>
          <w:sz w:val="22"/>
          <w:szCs w:val="22"/>
        </w:rPr>
        <w:t xml:space="preserve">al catalogo de información </w:t>
      </w:r>
      <w:r w:rsidR="00DE3BBB" w:rsidRPr="00467FAC">
        <w:rPr>
          <w:rFonts w:ascii="Century Gothic" w:hAnsi="Century Gothic"/>
          <w:sz w:val="22"/>
          <w:szCs w:val="22"/>
        </w:rPr>
        <w:lastRenderedPageBreak/>
        <w:t xml:space="preserve">reservada del artículo 17 de la misma Ley de Transparencia,  por lo que </w:t>
      </w:r>
      <w:r w:rsidR="007D78F3">
        <w:rPr>
          <w:rFonts w:ascii="Century Gothic" w:hAnsi="Century Gothic"/>
          <w:sz w:val="22"/>
          <w:szCs w:val="22"/>
        </w:rPr>
        <w:t xml:space="preserve"> de conformidad al punto 1 fracción II, </w:t>
      </w:r>
      <w:r w:rsidR="00DE3BBB" w:rsidRPr="00467FAC">
        <w:rPr>
          <w:rFonts w:ascii="Century Gothic" w:hAnsi="Century Gothic"/>
          <w:sz w:val="22"/>
          <w:szCs w:val="22"/>
        </w:rPr>
        <w:t xml:space="preserve">al revelar dicha información, sin que los expedientes de </w:t>
      </w:r>
      <w:r w:rsidR="00A75C2D" w:rsidRPr="00467FAC">
        <w:rPr>
          <w:rFonts w:ascii="Century Gothic" w:hAnsi="Century Gothic"/>
          <w:sz w:val="22"/>
          <w:szCs w:val="22"/>
        </w:rPr>
        <w:t>procedimientos</w:t>
      </w:r>
      <w:r w:rsidR="00DE3BBB" w:rsidRPr="00467FAC">
        <w:rPr>
          <w:rFonts w:ascii="Century Gothic" w:hAnsi="Century Gothic"/>
          <w:sz w:val="22"/>
          <w:szCs w:val="22"/>
        </w:rPr>
        <w:t xml:space="preserve"> </w:t>
      </w:r>
      <w:r w:rsidR="00A75C2D" w:rsidRPr="00467FAC">
        <w:rPr>
          <w:rFonts w:ascii="Century Gothic" w:hAnsi="Century Gothic"/>
          <w:sz w:val="22"/>
          <w:szCs w:val="22"/>
        </w:rPr>
        <w:t>administrativos seguidos en for</w:t>
      </w:r>
      <w:r w:rsidR="00DE3BBB" w:rsidRPr="00467FAC">
        <w:rPr>
          <w:rFonts w:ascii="Century Gothic" w:hAnsi="Century Gothic"/>
          <w:sz w:val="22"/>
          <w:szCs w:val="22"/>
        </w:rPr>
        <w:t xml:space="preserve">ma de </w:t>
      </w:r>
      <w:r w:rsidR="00A75C2D" w:rsidRPr="00467FAC">
        <w:rPr>
          <w:rFonts w:ascii="Century Gothic" w:hAnsi="Century Gothic"/>
          <w:sz w:val="22"/>
          <w:szCs w:val="22"/>
        </w:rPr>
        <w:t xml:space="preserve">juicio hayan causado estado aún, se estaría en contra de lo que establece la propia Ley, y se estarían vulnerando los  procedimientos </w:t>
      </w:r>
      <w:r w:rsidR="00D36A9B" w:rsidRPr="00467FAC">
        <w:rPr>
          <w:rFonts w:ascii="Century Gothic" w:hAnsi="Century Gothic"/>
          <w:sz w:val="22"/>
          <w:szCs w:val="22"/>
        </w:rPr>
        <w:t>de responsabilidad patrimonial en el sentido de que un procedimiento de responsabilidad patrimonial  se interpone a efecto de reconocer el derecho de indemnización  a un particular, debido a una   actividad administrativa irregular, ya sea  acción u omisión que cause daño a los bienes o derechos de los particulares, por lo que de</w:t>
      </w:r>
      <w:r w:rsidR="00811CB3" w:rsidRPr="00467FAC">
        <w:rPr>
          <w:rFonts w:ascii="Century Gothic" w:hAnsi="Century Gothic"/>
          <w:sz w:val="22"/>
          <w:szCs w:val="22"/>
        </w:rPr>
        <w:t xml:space="preserve"> ser </w:t>
      </w:r>
      <w:r w:rsidR="00D36A9B" w:rsidRPr="00467FAC">
        <w:rPr>
          <w:rFonts w:ascii="Century Gothic" w:hAnsi="Century Gothic"/>
          <w:sz w:val="22"/>
          <w:szCs w:val="22"/>
        </w:rPr>
        <w:t xml:space="preserve"> divulgada o revelada la información contenida en dichos procedimientos, sin que hayan causado estado, esto es, no se haya determinado aún si el servidor público en efecto incurrió en responsabilidad y  </w:t>
      </w:r>
      <w:r w:rsidR="00811CB3" w:rsidRPr="00467FAC">
        <w:rPr>
          <w:rFonts w:ascii="Century Gothic" w:hAnsi="Century Gothic"/>
          <w:sz w:val="22"/>
          <w:szCs w:val="22"/>
        </w:rPr>
        <w:t xml:space="preserve"> si se debe </w:t>
      </w:r>
      <w:r w:rsidR="00D36A9B" w:rsidRPr="00467FAC">
        <w:rPr>
          <w:rFonts w:ascii="Century Gothic" w:hAnsi="Century Gothic"/>
          <w:sz w:val="22"/>
          <w:szCs w:val="22"/>
        </w:rPr>
        <w:t>cubrir</w:t>
      </w:r>
      <w:r w:rsidR="00811CB3" w:rsidRPr="00467FAC">
        <w:rPr>
          <w:rFonts w:ascii="Century Gothic" w:hAnsi="Century Gothic"/>
          <w:sz w:val="22"/>
          <w:szCs w:val="22"/>
        </w:rPr>
        <w:t xml:space="preserve"> </w:t>
      </w:r>
      <w:r w:rsidR="00D36A9B" w:rsidRPr="00467FAC">
        <w:rPr>
          <w:rFonts w:ascii="Century Gothic" w:hAnsi="Century Gothic"/>
          <w:sz w:val="22"/>
          <w:szCs w:val="22"/>
        </w:rPr>
        <w:t xml:space="preserve"> de manera económica el daño, se le  estaría causando un perjuicio </w:t>
      </w:r>
      <w:r w:rsidR="00811CB3" w:rsidRPr="00467FAC">
        <w:rPr>
          <w:rFonts w:ascii="Century Gothic" w:hAnsi="Century Gothic"/>
          <w:sz w:val="22"/>
          <w:szCs w:val="22"/>
        </w:rPr>
        <w:t xml:space="preserve"> </w:t>
      </w:r>
      <w:r w:rsidR="00D36A9B" w:rsidRPr="00467FAC">
        <w:rPr>
          <w:rFonts w:ascii="Century Gothic" w:hAnsi="Century Gothic"/>
          <w:sz w:val="22"/>
          <w:szCs w:val="22"/>
        </w:rPr>
        <w:t>directo en su persona</w:t>
      </w:r>
      <w:r w:rsidR="00630A2F" w:rsidRPr="00467FAC">
        <w:rPr>
          <w:rFonts w:ascii="Century Gothic" w:hAnsi="Century Gothic"/>
          <w:sz w:val="22"/>
          <w:szCs w:val="22"/>
        </w:rPr>
        <w:t xml:space="preserve"> al revelar  de manera anticipada si la conducta del servidor público es sancionable</w:t>
      </w:r>
      <w:r w:rsidR="007D78F3">
        <w:rPr>
          <w:rFonts w:ascii="Century Gothic" w:hAnsi="Century Gothic"/>
          <w:sz w:val="22"/>
          <w:szCs w:val="22"/>
        </w:rPr>
        <w:t xml:space="preserve">; </w:t>
      </w:r>
      <w:r w:rsidR="00630A2F" w:rsidRPr="00467FAC">
        <w:rPr>
          <w:rFonts w:ascii="Century Gothic" w:hAnsi="Century Gothic"/>
          <w:sz w:val="22"/>
          <w:szCs w:val="22"/>
        </w:rPr>
        <w:t xml:space="preserve"> por lo antes expuesto se considera que l</w:t>
      </w:r>
      <w:r w:rsidR="00C304A7" w:rsidRPr="00467FAC">
        <w:rPr>
          <w:rFonts w:ascii="Century Gothic" w:hAnsi="Century Gothic"/>
          <w:sz w:val="22"/>
          <w:szCs w:val="22"/>
        </w:rPr>
        <w:t>a divulgación de</w:t>
      </w:r>
      <w:r w:rsidR="00630A2F" w:rsidRPr="00467FAC">
        <w:rPr>
          <w:rFonts w:ascii="Century Gothic" w:hAnsi="Century Gothic"/>
          <w:sz w:val="22"/>
          <w:szCs w:val="22"/>
        </w:rPr>
        <w:t xml:space="preserve"> dicha información antes de  su resolución definitiva  atenta </w:t>
      </w:r>
      <w:r w:rsidR="00C304A7" w:rsidRPr="00467FAC">
        <w:rPr>
          <w:rFonts w:ascii="Century Gothic" w:hAnsi="Century Gothic"/>
          <w:sz w:val="22"/>
          <w:szCs w:val="22"/>
        </w:rPr>
        <w:t xml:space="preserve"> efectivamente el interés </w:t>
      </w:r>
      <w:r w:rsidR="00630A2F" w:rsidRPr="00467FAC">
        <w:rPr>
          <w:rFonts w:ascii="Century Gothic" w:hAnsi="Century Gothic"/>
          <w:sz w:val="22"/>
          <w:szCs w:val="22"/>
        </w:rPr>
        <w:t>de los servidores públicos que forman parte de los mencionados procedimientos, superándose con es</w:t>
      </w:r>
      <w:r w:rsidR="007D78F3">
        <w:rPr>
          <w:rFonts w:ascii="Century Gothic" w:hAnsi="Century Gothic"/>
          <w:sz w:val="22"/>
          <w:szCs w:val="22"/>
        </w:rPr>
        <w:t xml:space="preserve">to el interés púbico general </w:t>
      </w:r>
      <w:r w:rsidR="00630A2F" w:rsidRPr="00467FAC">
        <w:rPr>
          <w:rFonts w:ascii="Century Gothic" w:hAnsi="Century Gothic"/>
          <w:sz w:val="22"/>
          <w:szCs w:val="22"/>
        </w:rPr>
        <w:t xml:space="preserve"> de conocer la información de referencia</w:t>
      </w:r>
      <w:r w:rsidR="0080397B" w:rsidRPr="00467FAC">
        <w:rPr>
          <w:rFonts w:ascii="Century Gothic" w:hAnsi="Century Gothic"/>
          <w:sz w:val="22"/>
          <w:szCs w:val="22"/>
        </w:rPr>
        <w:t xml:space="preserve">, en este sentido </w:t>
      </w:r>
      <w:r w:rsidR="00C304A7" w:rsidRPr="00467FAC">
        <w:rPr>
          <w:rFonts w:ascii="Century Gothic" w:hAnsi="Century Gothic"/>
          <w:sz w:val="22"/>
          <w:szCs w:val="22"/>
        </w:rPr>
        <w:t>se llega a la conclusión de que es</w:t>
      </w:r>
      <w:r w:rsidR="0080397B" w:rsidRPr="00467FAC">
        <w:rPr>
          <w:rFonts w:ascii="Century Gothic" w:hAnsi="Century Gothic"/>
          <w:sz w:val="22"/>
          <w:szCs w:val="22"/>
        </w:rPr>
        <w:t xml:space="preserve"> mayor el riesgo de perjuicio al proporcionar la información al</w:t>
      </w:r>
      <w:r w:rsidR="00C304A7" w:rsidRPr="00467FAC">
        <w:rPr>
          <w:rFonts w:ascii="Century Gothic" w:hAnsi="Century Gothic"/>
          <w:sz w:val="22"/>
          <w:szCs w:val="22"/>
        </w:rPr>
        <w:t xml:space="preserve"> solicitante qu</w:t>
      </w:r>
      <w:r w:rsidR="0080397B" w:rsidRPr="00467FAC">
        <w:rPr>
          <w:rFonts w:ascii="Century Gothic" w:hAnsi="Century Gothic"/>
          <w:sz w:val="22"/>
          <w:szCs w:val="22"/>
        </w:rPr>
        <w:t>e el beneficio que se obtiene al</w:t>
      </w:r>
      <w:r w:rsidR="00C304A7" w:rsidRPr="00467FAC">
        <w:rPr>
          <w:rFonts w:ascii="Century Gothic" w:hAnsi="Century Gothic"/>
          <w:sz w:val="22"/>
          <w:szCs w:val="22"/>
        </w:rPr>
        <w:t xml:space="preserve"> proporcionarla en virtud de que la mi</w:t>
      </w:r>
      <w:r w:rsidR="0080397B" w:rsidRPr="00467FAC">
        <w:rPr>
          <w:rFonts w:ascii="Century Gothic" w:hAnsi="Century Gothic"/>
          <w:sz w:val="22"/>
          <w:szCs w:val="22"/>
        </w:rPr>
        <w:t>sma la requiere un ciudadano del</w:t>
      </w:r>
      <w:r w:rsidR="00C304A7" w:rsidRPr="00467FAC">
        <w:rPr>
          <w:rFonts w:ascii="Century Gothic" w:hAnsi="Century Gothic"/>
          <w:sz w:val="22"/>
          <w:szCs w:val="22"/>
        </w:rPr>
        <w:t xml:space="preserve"> cual se desconoce los fines para los que pueda utilizarla.</w:t>
      </w:r>
      <w:r w:rsidR="0080397B" w:rsidRPr="00467FAC">
        <w:rPr>
          <w:rFonts w:ascii="Century Gothic" w:hAnsi="Century Gothic"/>
          <w:sz w:val="22"/>
          <w:szCs w:val="22"/>
        </w:rPr>
        <w:t>-</w:t>
      </w:r>
    </w:p>
    <w:p w:rsidR="0080397B" w:rsidRPr="00467FAC" w:rsidRDefault="0080397B" w:rsidP="00467FAC">
      <w:pPr>
        <w:spacing w:after="324"/>
        <w:ind w:left="13" w:right="63" w:hanging="10"/>
        <w:jc w:val="both"/>
        <w:rPr>
          <w:rFonts w:ascii="Century Gothic" w:eastAsia="Calibri" w:hAnsi="Century Gothic" w:cs="Arial"/>
          <w:lang w:eastAsia="en-US"/>
        </w:rPr>
      </w:pPr>
    </w:p>
    <w:p w:rsidR="00C304A7" w:rsidRPr="00467FAC" w:rsidRDefault="00C304A7" w:rsidP="00467FAC">
      <w:pPr>
        <w:spacing w:after="312"/>
        <w:ind w:left="63" w:right="33" w:firstLine="8"/>
        <w:jc w:val="both"/>
        <w:rPr>
          <w:rFonts w:ascii="Century Gothic" w:hAnsi="Century Gothic"/>
        </w:rPr>
      </w:pPr>
      <w:r w:rsidRPr="00467FAC">
        <w:rPr>
          <w:rFonts w:ascii="Century Gothic" w:hAnsi="Century Gothic"/>
          <w:noProof/>
        </w:rPr>
        <w:drawing>
          <wp:anchor distT="0" distB="0" distL="114300" distR="114300" simplePos="0" relativeHeight="251662336" behindDoc="0" locked="0" layoutInCell="1" allowOverlap="0">
            <wp:simplePos x="0" y="0"/>
            <wp:positionH relativeFrom="page">
              <wp:posOffset>1478652</wp:posOffset>
            </wp:positionH>
            <wp:positionV relativeFrom="page">
              <wp:posOffset>9220516</wp:posOffset>
            </wp:positionV>
            <wp:extent cx="788614" cy="155444"/>
            <wp:effectExtent l="0" t="0" r="0" b="0"/>
            <wp:wrapTopAndBottom/>
            <wp:docPr id="12347" name="Picture 12347"/>
            <wp:cNvGraphicFramePr/>
            <a:graphic xmlns:a="http://schemas.openxmlformats.org/drawingml/2006/main">
              <a:graphicData uri="http://schemas.openxmlformats.org/drawingml/2006/picture">
                <pic:pic xmlns:pic="http://schemas.openxmlformats.org/drawingml/2006/picture">
                  <pic:nvPicPr>
                    <pic:cNvPr id="12347" name="Picture 12347"/>
                    <pic:cNvPicPr/>
                  </pic:nvPicPr>
                  <pic:blipFill>
                    <a:blip r:embed="rId7"/>
                    <a:stretch>
                      <a:fillRect/>
                    </a:stretch>
                  </pic:blipFill>
                  <pic:spPr>
                    <a:xfrm>
                      <a:off x="0" y="0"/>
                      <a:ext cx="788614" cy="155444"/>
                    </a:xfrm>
                    <a:prstGeom prst="rect">
                      <a:avLst/>
                    </a:prstGeom>
                  </pic:spPr>
                </pic:pic>
              </a:graphicData>
            </a:graphic>
          </wp:anchor>
        </w:drawing>
      </w:r>
      <w:r w:rsidR="00554EB4" w:rsidRPr="00467FAC">
        <w:rPr>
          <w:rFonts w:ascii="Century Gothic" w:hAnsi="Century Gothic"/>
        </w:rPr>
        <w:tab/>
      </w:r>
      <w:r w:rsidRPr="00467FAC">
        <w:rPr>
          <w:rFonts w:ascii="Century Gothic" w:hAnsi="Century Gothic"/>
        </w:rPr>
        <w:t>Por los razonamientos y fundamento</w:t>
      </w:r>
      <w:r w:rsidR="00554EB4" w:rsidRPr="00467FAC">
        <w:rPr>
          <w:rFonts w:ascii="Century Gothic" w:hAnsi="Century Gothic"/>
        </w:rPr>
        <w:t>s</w:t>
      </w:r>
      <w:r w:rsidRPr="00467FAC">
        <w:rPr>
          <w:rFonts w:ascii="Century Gothic" w:hAnsi="Century Gothic"/>
        </w:rPr>
        <w:t xml:space="preserve"> legal</w:t>
      </w:r>
      <w:r w:rsidR="00554EB4" w:rsidRPr="00467FAC">
        <w:rPr>
          <w:rFonts w:ascii="Century Gothic" w:hAnsi="Century Gothic"/>
        </w:rPr>
        <w:t>es expuestos</w:t>
      </w:r>
      <w:r w:rsidRPr="00467FAC">
        <w:rPr>
          <w:rFonts w:ascii="Century Gothic" w:hAnsi="Century Gothic"/>
        </w:rPr>
        <w:t xml:space="preserve">, así como lo </w:t>
      </w:r>
      <w:r w:rsidR="00554EB4" w:rsidRPr="00467FAC">
        <w:rPr>
          <w:rFonts w:ascii="Century Gothic" w:hAnsi="Century Gothic"/>
        </w:rPr>
        <w:t>dispuesto por los artículos 17</w:t>
      </w:r>
      <w:r w:rsidRPr="00467FAC">
        <w:rPr>
          <w:rFonts w:ascii="Century Gothic" w:hAnsi="Century Gothic"/>
        </w:rPr>
        <w:t xml:space="preserve"> </w:t>
      </w:r>
      <w:r w:rsidR="00467FAC" w:rsidRPr="00467FAC">
        <w:rPr>
          <w:rFonts w:ascii="Century Gothic" w:hAnsi="Century Gothic"/>
        </w:rPr>
        <w:t>fracciones</w:t>
      </w:r>
      <w:r w:rsidR="00554EB4" w:rsidRPr="00467FAC">
        <w:rPr>
          <w:rFonts w:ascii="Century Gothic" w:hAnsi="Century Gothic"/>
        </w:rPr>
        <w:t xml:space="preserve"> </w:t>
      </w:r>
      <w:r w:rsidRPr="00467FAC">
        <w:rPr>
          <w:rFonts w:ascii="Century Gothic" w:hAnsi="Century Gothic"/>
        </w:rPr>
        <w:t xml:space="preserve"> l,</w:t>
      </w:r>
      <w:r w:rsidR="00554EB4" w:rsidRPr="00467FAC">
        <w:rPr>
          <w:rFonts w:ascii="Century Gothic" w:hAnsi="Century Gothic"/>
        </w:rPr>
        <w:t xml:space="preserve"> III, IV,  V</w:t>
      </w:r>
      <w:r w:rsidRPr="00467FAC">
        <w:rPr>
          <w:rFonts w:ascii="Century Gothic" w:hAnsi="Century Gothic"/>
        </w:rPr>
        <w:t xml:space="preserve"> </w:t>
      </w:r>
      <w:r w:rsidR="00554EB4" w:rsidRPr="00467FAC">
        <w:rPr>
          <w:rFonts w:ascii="Century Gothic" w:hAnsi="Century Gothic"/>
        </w:rPr>
        <w:t xml:space="preserve"> y 18, </w:t>
      </w:r>
      <w:r w:rsidRPr="00467FAC">
        <w:rPr>
          <w:rFonts w:ascii="Century Gothic" w:hAnsi="Century Gothic"/>
        </w:rPr>
        <w:t>de la Ley de Transparencia y Acceso a la Información Pública del Estado de Jalisco y sus Municipios, que deberán observar los sujetos obligados previstos en la Ley de Transparencia y Acceso a la Información Pública del Estado de Jalisco y sus M</w:t>
      </w:r>
      <w:r w:rsidR="00554EB4" w:rsidRPr="00467FAC">
        <w:rPr>
          <w:rFonts w:ascii="Century Gothic" w:hAnsi="Century Gothic"/>
        </w:rPr>
        <w:t xml:space="preserve">unicipios, </w:t>
      </w:r>
      <w:r w:rsidR="00467FAC" w:rsidRPr="00467FAC">
        <w:rPr>
          <w:rFonts w:ascii="Century Gothic" w:hAnsi="Century Gothic"/>
        </w:rPr>
        <w:t>se procede</w:t>
      </w:r>
      <w:r w:rsidRPr="00467FAC">
        <w:rPr>
          <w:rFonts w:ascii="Century Gothic" w:hAnsi="Century Gothic"/>
        </w:rPr>
        <w:t xml:space="preserve"> expedir el siguiente</w:t>
      </w:r>
      <w:r w:rsidRPr="00467FAC">
        <w:rPr>
          <w:rFonts w:ascii="Century Gothic" w:hAnsi="Century Gothic"/>
          <w:noProof/>
        </w:rPr>
        <w:drawing>
          <wp:inline distT="0" distB="0" distL="0" distR="0">
            <wp:extent cx="18957" cy="94783"/>
            <wp:effectExtent l="0" t="0" r="0" b="0"/>
            <wp:docPr id="23550" name="Picture 23550"/>
            <wp:cNvGraphicFramePr/>
            <a:graphic xmlns:a="http://schemas.openxmlformats.org/drawingml/2006/main">
              <a:graphicData uri="http://schemas.openxmlformats.org/drawingml/2006/picture">
                <pic:pic xmlns:pic="http://schemas.openxmlformats.org/drawingml/2006/picture">
                  <pic:nvPicPr>
                    <pic:cNvPr id="23550" name="Picture 23550"/>
                    <pic:cNvPicPr/>
                  </pic:nvPicPr>
                  <pic:blipFill>
                    <a:blip r:embed="rId8"/>
                    <a:stretch>
                      <a:fillRect/>
                    </a:stretch>
                  </pic:blipFill>
                  <pic:spPr>
                    <a:xfrm>
                      <a:off x="0" y="0"/>
                      <a:ext cx="18957" cy="94783"/>
                    </a:xfrm>
                    <a:prstGeom prst="rect">
                      <a:avLst/>
                    </a:prstGeom>
                  </pic:spPr>
                </pic:pic>
              </a:graphicData>
            </a:graphic>
          </wp:inline>
        </w:drawing>
      </w:r>
    </w:p>
    <w:p w:rsidR="00C304A7" w:rsidRPr="00467FAC" w:rsidRDefault="00C304A7" w:rsidP="00467FAC">
      <w:pPr>
        <w:spacing w:after="232"/>
        <w:ind w:left="3523" w:right="27" w:firstLine="2"/>
        <w:jc w:val="both"/>
        <w:rPr>
          <w:rFonts w:ascii="Century Gothic" w:hAnsi="Century Gothic"/>
          <w:b/>
        </w:rPr>
      </w:pPr>
      <w:r w:rsidRPr="00467FAC">
        <w:rPr>
          <w:rFonts w:ascii="Century Gothic" w:hAnsi="Century Gothic"/>
          <w:b/>
        </w:rPr>
        <w:t>A</w:t>
      </w:r>
      <w:r w:rsidR="00554EB4" w:rsidRPr="00467FAC">
        <w:rPr>
          <w:rFonts w:ascii="Century Gothic" w:hAnsi="Century Gothic"/>
          <w:b/>
        </w:rPr>
        <w:t xml:space="preserve"> </w:t>
      </w:r>
      <w:r w:rsidRPr="00467FAC">
        <w:rPr>
          <w:rFonts w:ascii="Century Gothic" w:hAnsi="Century Gothic"/>
          <w:b/>
        </w:rPr>
        <w:t>C</w:t>
      </w:r>
      <w:r w:rsidR="00554EB4" w:rsidRPr="00467FAC">
        <w:rPr>
          <w:rFonts w:ascii="Century Gothic" w:hAnsi="Century Gothic"/>
          <w:b/>
        </w:rPr>
        <w:t xml:space="preserve"> </w:t>
      </w:r>
      <w:r w:rsidRPr="00467FAC">
        <w:rPr>
          <w:rFonts w:ascii="Century Gothic" w:hAnsi="Century Gothic"/>
          <w:b/>
        </w:rPr>
        <w:t>U</w:t>
      </w:r>
      <w:r w:rsidR="00554EB4" w:rsidRPr="00467FAC">
        <w:rPr>
          <w:rFonts w:ascii="Century Gothic" w:hAnsi="Century Gothic"/>
          <w:b/>
        </w:rPr>
        <w:t xml:space="preserve"> </w:t>
      </w:r>
      <w:r w:rsidRPr="00467FAC">
        <w:rPr>
          <w:rFonts w:ascii="Century Gothic" w:hAnsi="Century Gothic"/>
          <w:b/>
        </w:rPr>
        <w:t>E</w:t>
      </w:r>
      <w:r w:rsidR="00554EB4" w:rsidRPr="00467FAC">
        <w:rPr>
          <w:rFonts w:ascii="Century Gothic" w:hAnsi="Century Gothic"/>
          <w:b/>
        </w:rPr>
        <w:t xml:space="preserve"> </w:t>
      </w:r>
      <w:r w:rsidRPr="00467FAC">
        <w:rPr>
          <w:rFonts w:ascii="Century Gothic" w:hAnsi="Century Gothic"/>
          <w:b/>
        </w:rPr>
        <w:t>R</w:t>
      </w:r>
      <w:r w:rsidR="00554EB4" w:rsidRPr="00467FAC">
        <w:rPr>
          <w:rFonts w:ascii="Century Gothic" w:hAnsi="Century Gothic"/>
          <w:b/>
        </w:rPr>
        <w:t xml:space="preserve"> </w:t>
      </w:r>
      <w:r w:rsidRPr="00467FAC">
        <w:rPr>
          <w:rFonts w:ascii="Century Gothic" w:hAnsi="Century Gothic"/>
          <w:b/>
        </w:rPr>
        <w:t>D</w:t>
      </w:r>
      <w:r w:rsidR="00554EB4" w:rsidRPr="00467FAC">
        <w:rPr>
          <w:rFonts w:ascii="Century Gothic" w:hAnsi="Century Gothic"/>
          <w:b/>
        </w:rPr>
        <w:t xml:space="preserve"> </w:t>
      </w:r>
      <w:r w:rsidRPr="00467FAC">
        <w:rPr>
          <w:rFonts w:ascii="Century Gothic" w:hAnsi="Century Gothic"/>
          <w:b/>
        </w:rPr>
        <w:t>O:</w:t>
      </w:r>
    </w:p>
    <w:p w:rsidR="00554EB4" w:rsidRPr="00467FAC" w:rsidRDefault="00467FAC" w:rsidP="00467FAC">
      <w:pPr>
        <w:ind w:firstLine="708"/>
        <w:jc w:val="both"/>
        <w:rPr>
          <w:rFonts w:ascii="Century Gothic" w:hAnsi="Century Gothic"/>
        </w:rPr>
      </w:pPr>
      <w:r w:rsidRPr="00467FAC">
        <w:rPr>
          <w:rFonts w:ascii="Century Gothic" w:hAnsi="Century Gothic"/>
        </w:rPr>
        <w:t xml:space="preserve"> L</w:t>
      </w:r>
      <w:r w:rsidR="00554EB4" w:rsidRPr="00467FAC">
        <w:rPr>
          <w:rFonts w:ascii="Century Gothic" w:hAnsi="Century Gothic"/>
        </w:rPr>
        <w:t>a Titular de la Unidad de Transparencia, al exponer los puntos que se toman en consideración para la reserva de de información, solicita se apruebe  proteger los expedientes como información reservada, hasta en tanto no se adopte una decisión definitiva o se dicte una resolución administrativa o judicial en los mismos, esto por lo que concierne a los procedimientos de responsabilidad de los servidores públicos, que se encuentren en la actualidad en trámite, así como los que se pudieran generar en el futuro.-</w:t>
      </w:r>
    </w:p>
    <w:p w:rsidR="00554EB4" w:rsidRPr="00467FAC" w:rsidRDefault="00554EB4" w:rsidP="00467FAC">
      <w:pPr>
        <w:ind w:firstLine="708"/>
        <w:jc w:val="both"/>
        <w:rPr>
          <w:rFonts w:ascii="Century Gothic" w:hAnsi="Century Gothic"/>
        </w:rPr>
      </w:pPr>
      <w:r w:rsidRPr="00467FAC">
        <w:rPr>
          <w:rFonts w:ascii="Century Gothic" w:hAnsi="Century Gothic"/>
        </w:rPr>
        <w:lastRenderedPageBreak/>
        <w:t>No habiendo más observaciones vertidas, se somete a aprobación del Pleno del Comité en votación económica, las manifestaciones vertidas y  -------------------------</w:t>
      </w:r>
      <w:r w:rsidR="00467FAC">
        <w:rPr>
          <w:rFonts w:ascii="Century Gothic" w:hAnsi="Century Gothic"/>
        </w:rPr>
        <w:t>-----------------</w:t>
      </w:r>
      <w:r w:rsidRPr="00467FAC">
        <w:rPr>
          <w:rFonts w:ascii="Century Gothic" w:hAnsi="Century Gothic"/>
        </w:rPr>
        <w:t>------</w:t>
      </w:r>
      <w:r w:rsidRPr="00467FAC">
        <w:rPr>
          <w:rFonts w:ascii="Century Gothic" w:hAnsi="Century Gothic"/>
          <w:b/>
        </w:rPr>
        <w:t>SE APRUEBAN POR UNANIMIDAD</w:t>
      </w:r>
      <w:r w:rsidRPr="00467FAC">
        <w:rPr>
          <w:rFonts w:ascii="Century Gothic" w:hAnsi="Century Gothic"/>
        </w:rPr>
        <w:t xml:space="preserve"> -------</w:t>
      </w:r>
      <w:r w:rsidR="00467FAC">
        <w:rPr>
          <w:rFonts w:ascii="Century Gothic" w:hAnsi="Century Gothic"/>
        </w:rPr>
        <w:t>---------</w:t>
      </w:r>
      <w:r w:rsidRPr="00467FAC">
        <w:rPr>
          <w:rFonts w:ascii="Century Gothic" w:hAnsi="Century Gothic"/>
        </w:rPr>
        <w:t>---------------------</w:t>
      </w:r>
    </w:p>
    <w:p w:rsidR="00554EB4" w:rsidRPr="00467FAC" w:rsidRDefault="00554EB4" w:rsidP="00467FAC">
      <w:pPr>
        <w:ind w:firstLine="708"/>
        <w:jc w:val="both"/>
        <w:rPr>
          <w:rFonts w:ascii="Century Gothic" w:hAnsi="Century Gothic"/>
        </w:rPr>
      </w:pPr>
      <w:r w:rsidRPr="00467FAC">
        <w:rPr>
          <w:rFonts w:ascii="Century Gothic" w:hAnsi="Century Gothic"/>
        </w:rPr>
        <w:t>No habiendo más manifestaciones, y agotados los puntos de la orden del día, se dicta el siguiente:</w:t>
      </w:r>
    </w:p>
    <w:p w:rsidR="00554EB4" w:rsidRPr="00467FAC" w:rsidRDefault="00554EB4" w:rsidP="00467FAC">
      <w:pPr>
        <w:jc w:val="both"/>
        <w:rPr>
          <w:rFonts w:ascii="Century Gothic" w:hAnsi="Century Gothic"/>
          <w:b/>
        </w:rPr>
      </w:pPr>
      <w:r w:rsidRPr="00467FAC">
        <w:rPr>
          <w:rFonts w:ascii="Century Gothic" w:hAnsi="Century Gothic"/>
        </w:rPr>
        <w:tab/>
      </w:r>
      <w:r w:rsidRPr="00467FAC">
        <w:rPr>
          <w:rFonts w:ascii="Century Gothic" w:hAnsi="Century Gothic"/>
        </w:rPr>
        <w:tab/>
      </w:r>
      <w:r w:rsidRPr="00467FAC">
        <w:rPr>
          <w:rFonts w:ascii="Century Gothic" w:hAnsi="Century Gothic"/>
        </w:rPr>
        <w:tab/>
      </w:r>
      <w:r w:rsidRPr="00467FAC">
        <w:rPr>
          <w:rFonts w:ascii="Century Gothic" w:hAnsi="Century Gothic"/>
        </w:rPr>
        <w:tab/>
      </w:r>
      <w:r w:rsidRPr="00467FAC">
        <w:rPr>
          <w:rFonts w:ascii="Century Gothic" w:hAnsi="Century Gothic"/>
        </w:rPr>
        <w:tab/>
      </w:r>
      <w:r w:rsidRPr="00467FAC">
        <w:rPr>
          <w:rFonts w:ascii="Century Gothic" w:hAnsi="Century Gothic"/>
          <w:b/>
        </w:rPr>
        <w:t>A C U E R D O</w:t>
      </w:r>
    </w:p>
    <w:p w:rsidR="00554EB4" w:rsidRPr="00467FAC" w:rsidRDefault="00554EB4" w:rsidP="00467FAC">
      <w:pPr>
        <w:ind w:firstLine="708"/>
        <w:jc w:val="both"/>
        <w:rPr>
          <w:rFonts w:ascii="Century Gothic" w:hAnsi="Century Gothic"/>
        </w:rPr>
      </w:pPr>
      <w:r w:rsidRPr="00467FAC">
        <w:rPr>
          <w:rFonts w:ascii="Century Gothic" w:hAnsi="Century Gothic"/>
          <w:b/>
        </w:rPr>
        <w:t xml:space="preserve">PRIMERO.- </w:t>
      </w:r>
      <w:r w:rsidRPr="00467FAC">
        <w:rPr>
          <w:rFonts w:ascii="Century Gothic" w:hAnsi="Century Gothic"/>
        </w:rPr>
        <w:t>Se aprueba el contenido de la presente acta, considerando que este Comité sesiona con fundamento en el Titulo Tercero, Capitulo II, artículos 27, 28 29 y 30 de la Ley de Transparencia y Acceso a la Información Pública del Estado de Jalisco y sus Municipios, y la sección II del Reglamento a la Ley de Transparencia y Acceso a la Información Pública del Estado de Jalisco y sus Municipios.</w:t>
      </w:r>
    </w:p>
    <w:p w:rsidR="00554EB4" w:rsidRPr="00467FAC" w:rsidRDefault="00554EB4" w:rsidP="00467FAC">
      <w:pPr>
        <w:ind w:firstLine="708"/>
        <w:jc w:val="both"/>
        <w:rPr>
          <w:rFonts w:ascii="Century Gothic" w:hAnsi="Century Gothic"/>
        </w:rPr>
      </w:pPr>
      <w:r w:rsidRPr="00467FAC">
        <w:rPr>
          <w:rFonts w:ascii="Century Gothic" w:hAnsi="Century Gothic"/>
          <w:b/>
        </w:rPr>
        <w:t xml:space="preserve">SEGUNDO.- </w:t>
      </w:r>
      <w:r w:rsidRPr="00467FAC">
        <w:rPr>
          <w:rFonts w:ascii="Century Gothic" w:hAnsi="Century Gothic"/>
        </w:rPr>
        <w:t xml:space="preserve"> Se ratifican los acuerdos tomados.</w:t>
      </w:r>
    </w:p>
    <w:p w:rsidR="00554EB4" w:rsidRPr="00467FAC" w:rsidRDefault="00554EB4" w:rsidP="00467FAC">
      <w:pPr>
        <w:ind w:firstLine="708"/>
        <w:jc w:val="both"/>
        <w:rPr>
          <w:rFonts w:ascii="Century Gothic" w:hAnsi="Century Gothic"/>
        </w:rPr>
      </w:pPr>
      <w:r w:rsidRPr="00467FAC">
        <w:rPr>
          <w:rFonts w:ascii="Century Gothic" w:hAnsi="Century Gothic"/>
          <w:b/>
        </w:rPr>
        <w:t xml:space="preserve">TERCERO.- </w:t>
      </w:r>
      <w:r w:rsidRPr="00467FAC">
        <w:rPr>
          <w:rFonts w:ascii="Century Gothic" w:hAnsi="Century Gothic"/>
        </w:rPr>
        <w:t>Se instruye  a la Coordinación Operativa de la Unidad y Comité de Transparencia como Titular de la Unidad de Transparencia y en su Carácter de Secretario Técnico del Comité de Clasificación de Información Pública y Transparencia, a efecto de que de resolución a la solicitud de información</w:t>
      </w:r>
      <w:r w:rsidR="00467FAC" w:rsidRPr="00467FAC">
        <w:rPr>
          <w:rFonts w:ascii="Century Gothic" w:hAnsi="Century Gothic"/>
        </w:rPr>
        <w:t xml:space="preserve">, </w:t>
      </w:r>
      <w:r w:rsidRPr="00467FAC">
        <w:rPr>
          <w:rFonts w:ascii="Century Gothic" w:hAnsi="Century Gothic"/>
        </w:rPr>
        <w:t xml:space="preserve"> dando respuesta  a la misma de conformidad a lo acordado en esta sesión de comité, de conformidad a los artículos 75 y 76 de la Ley de la materia.-</w:t>
      </w:r>
    </w:p>
    <w:p w:rsidR="00554EB4" w:rsidRPr="00467FAC" w:rsidRDefault="00554EB4" w:rsidP="00467FAC">
      <w:pPr>
        <w:jc w:val="both"/>
        <w:rPr>
          <w:rFonts w:ascii="Century Gothic" w:hAnsi="Century Gothic"/>
          <w:b/>
        </w:rPr>
      </w:pPr>
      <w:r w:rsidRPr="00467FAC">
        <w:rPr>
          <w:rFonts w:ascii="Century Gothic" w:hAnsi="Century Gothic"/>
          <w:b/>
        </w:rPr>
        <w:t>----------------------------SE APRUEBAN LOS PUNTOS DE ACUERDO--------------</w:t>
      </w:r>
    </w:p>
    <w:p w:rsidR="00467FAC" w:rsidRPr="00467FAC" w:rsidRDefault="00467FAC" w:rsidP="00467FAC">
      <w:pPr>
        <w:ind w:firstLine="708"/>
        <w:jc w:val="both"/>
        <w:rPr>
          <w:rFonts w:ascii="Century Gothic" w:hAnsi="Century Gothic"/>
        </w:rPr>
      </w:pPr>
    </w:p>
    <w:p w:rsidR="00554EB4" w:rsidRPr="00467FAC" w:rsidRDefault="00554EB4" w:rsidP="00467FAC">
      <w:pPr>
        <w:ind w:firstLine="708"/>
        <w:jc w:val="both"/>
        <w:rPr>
          <w:rFonts w:ascii="Century Gothic" w:hAnsi="Century Gothic"/>
        </w:rPr>
      </w:pPr>
      <w:r w:rsidRPr="00467FAC">
        <w:rPr>
          <w:rFonts w:ascii="Century Gothic" w:hAnsi="Century Gothic"/>
        </w:rPr>
        <w:t xml:space="preserve">Así lo aprobó el H. COMITÉ DE CLASIFICACIÓN DE INFORMACIÓN PÚBLICA Y TRANSPARENCIA DEL TRIBUNAL DE ARBITRAJE Y ESCALAFÓN DEL ESTADO DE JALISCO, concluyendo la sesión a las 12:00 doce horas del día 13 trece de enero del año 2017 dos mil diecisiete, en la Ciudad de Guadalajara, Jalisco, firmando los que en ella intervienen.-- - - -  - -  - -- - -  - - - - - -  - - - - - -  - - - -- - -  - - - - - - </w:t>
      </w:r>
      <w:r w:rsidRPr="00467FAC">
        <w:rPr>
          <w:rFonts w:ascii="Century Gothic" w:hAnsi="Century Gothic"/>
          <w:b/>
        </w:rPr>
        <w:t>CONSTE.-</w:t>
      </w:r>
    </w:p>
    <w:p w:rsidR="00554EB4" w:rsidRPr="00467FAC" w:rsidRDefault="00554EB4" w:rsidP="00467FAC">
      <w:pPr>
        <w:ind w:firstLine="708"/>
        <w:jc w:val="both"/>
        <w:rPr>
          <w:rFonts w:ascii="Century Gothic" w:hAnsi="Century Gothic"/>
        </w:rPr>
      </w:pPr>
    </w:p>
    <w:p w:rsidR="00554EB4" w:rsidRPr="00467FAC" w:rsidRDefault="00554EB4" w:rsidP="00467FAC">
      <w:pPr>
        <w:ind w:firstLine="708"/>
        <w:jc w:val="both"/>
        <w:rPr>
          <w:rFonts w:ascii="Century Gothic" w:hAnsi="Century Gothic"/>
        </w:rPr>
      </w:pPr>
    </w:p>
    <w:p w:rsidR="00554EB4" w:rsidRPr="00467FAC" w:rsidRDefault="00554EB4" w:rsidP="00467FAC">
      <w:pPr>
        <w:rPr>
          <w:rFonts w:ascii="Century Gothic" w:hAnsi="Century Gothic"/>
        </w:rPr>
      </w:pPr>
      <w:r w:rsidRPr="00467FAC">
        <w:rPr>
          <w:rFonts w:ascii="Century Gothic" w:hAnsi="Century Gothic"/>
        </w:rPr>
        <w:t>_______________________________________</w:t>
      </w:r>
    </w:p>
    <w:p w:rsidR="00554EB4" w:rsidRPr="00467FAC" w:rsidRDefault="00554EB4" w:rsidP="00467FAC">
      <w:pPr>
        <w:rPr>
          <w:rFonts w:ascii="Century Gothic" w:hAnsi="Century Gothic"/>
        </w:rPr>
      </w:pPr>
      <w:r w:rsidRPr="00467FAC">
        <w:rPr>
          <w:rFonts w:ascii="Century Gothic" w:hAnsi="Century Gothic"/>
        </w:rPr>
        <w:t>MAGISTRADO JAIME ERNESTO DE JESÚS ACOSTA ESPINOZA</w:t>
      </w:r>
    </w:p>
    <w:p w:rsidR="00554EB4" w:rsidRPr="00467FAC" w:rsidRDefault="00554EB4" w:rsidP="00467FAC">
      <w:pPr>
        <w:rPr>
          <w:rFonts w:ascii="Century Gothic" w:hAnsi="Century Gothic"/>
        </w:rPr>
      </w:pPr>
      <w:r w:rsidRPr="00467FAC">
        <w:rPr>
          <w:rFonts w:ascii="Century Gothic" w:hAnsi="Century Gothic"/>
        </w:rPr>
        <w:t>PRESIDENTE</w:t>
      </w:r>
    </w:p>
    <w:p w:rsidR="00554EB4" w:rsidRPr="00467FAC" w:rsidRDefault="00554EB4" w:rsidP="00467FAC">
      <w:pPr>
        <w:rPr>
          <w:rFonts w:ascii="Century Gothic" w:hAnsi="Century Gothic"/>
        </w:rPr>
      </w:pPr>
    </w:p>
    <w:p w:rsidR="00554EB4" w:rsidRPr="00467FAC" w:rsidRDefault="00554EB4" w:rsidP="00467FAC">
      <w:pPr>
        <w:rPr>
          <w:rFonts w:ascii="Century Gothic" w:hAnsi="Century Gothic"/>
        </w:rPr>
      </w:pPr>
    </w:p>
    <w:p w:rsidR="00554EB4" w:rsidRPr="00467FAC" w:rsidRDefault="00554EB4" w:rsidP="00467FAC">
      <w:pPr>
        <w:rPr>
          <w:rFonts w:ascii="Century Gothic" w:hAnsi="Century Gothic"/>
        </w:rPr>
      </w:pPr>
      <w:r w:rsidRPr="00467FAC">
        <w:rPr>
          <w:rFonts w:ascii="Century Gothic" w:hAnsi="Century Gothic"/>
        </w:rPr>
        <w:t>______________________________________</w:t>
      </w:r>
    </w:p>
    <w:p w:rsidR="00554EB4" w:rsidRPr="00467FAC" w:rsidRDefault="00554EB4" w:rsidP="00467FAC">
      <w:pPr>
        <w:rPr>
          <w:rFonts w:ascii="Century Gothic" w:hAnsi="Century Gothic"/>
        </w:rPr>
      </w:pPr>
      <w:r w:rsidRPr="00467FAC">
        <w:rPr>
          <w:rFonts w:ascii="Century Gothic" w:hAnsi="Century Gothic"/>
        </w:rPr>
        <w:t>LIC. KARLA GEORGINA MARTIN ACOSTA</w:t>
      </w:r>
    </w:p>
    <w:p w:rsidR="00554EB4" w:rsidRPr="00467FAC" w:rsidRDefault="00554EB4" w:rsidP="00467FAC">
      <w:pPr>
        <w:rPr>
          <w:rFonts w:ascii="Century Gothic" w:hAnsi="Century Gothic"/>
        </w:rPr>
      </w:pPr>
      <w:r w:rsidRPr="00467FAC">
        <w:rPr>
          <w:rFonts w:ascii="Century Gothic" w:hAnsi="Century Gothic"/>
        </w:rPr>
        <w:t>SECRETARIO</w:t>
      </w:r>
    </w:p>
    <w:p w:rsidR="00554EB4" w:rsidRPr="00467FAC" w:rsidRDefault="00554EB4" w:rsidP="00467FAC">
      <w:pPr>
        <w:rPr>
          <w:rFonts w:ascii="Century Gothic" w:hAnsi="Century Gothic"/>
        </w:rPr>
      </w:pPr>
    </w:p>
    <w:p w:rsidR="00554EB4" w:rsidRPr="00467FAC" w:rsidRDefault="00554EB4" w:rsidP="00467FAC">
      <w:pPr>
        <w:rPr>
          <w:rFonts w:ascii="Century Gothic" w:hAnsi="Century Gothic"/>
        </w:rPr>
      </w:pPr>
    </w:p>
    <w:p w:rsidR="00554EB4" w:rsidRPr="00467FAC" w:rsidRDefault="00554EB4" w:rsidP="00467FAC">
      <w:pPr>
        <w:rPr>
          <w:rFonts w:ascii="Century Gothic" w:hAnsi="Century Gothic"/>
        </w:rPr>
      </w:pPr>
      <w:r w:rsidRPr="00467FAC">
        <w:rPr>
          <w:rFonts w:ascii="Century Gothic" w:hAnsi="Century Gothic"/>
        </w:rPr>
        <w:t>______________________________________</w:t>
      </w:r>
    </w:p>
    <w:p w:rsidR="00554EB4" w:rsidRPr="00467FAC" w:rsidRDefault="00554EB4" w:rsidP="00467FAC">
      <w:pPr>
        <w:rPr>
          <w:rFonts w:ascii="Century Gothic" w:hAnsi="Century Gothic"/>
        </w:rPr>
      </w:pPr>
      <w:r w:rsidRPr="00467FAC">
        <w:rPr>
          <w:rFonts w:ascii="Century Gothic" w:hAnsi="Century Gothic"/>
        </w:rPr>
        <w:t>MAESTRA SILVIA LÓPEZ GODÍNEZ</w:t>
      </w:r>
    </w:p>
    <w:p w:rsidR="00554EB4" w:rsidRPr="00467FAC" w:rsidRDefault="00554EB4" w:rsidP="00467FAC">
      <w:pPr>
        <w:rPr>
          <w:rFonts w:ascii="Century Gothic" w:hAnsi="Century Gothic"/>
        </w:rPr>
      </w:pPr>
      <w:r w:rsidRPr="00467FAC">
        <w:rPr>
          <w:rFonts w:ascii="Century Gothic" w:hAnsi="Century Gothic"/>
        </w:rPr>
        <w:t>VOCAL</w:t>
      </w:r>
    </w:p>
    <w:p w:rsidR="00554EB4" w:rsidRPr="00467FAC" w:rsidRDefault="00554EB4" w:rsidP="00467FAC">
      <w:pPr>
        <w:rPr>
          <w:rFonts w:ascii="Century Gothic" w:hAnsi="Century Gothic"/>
        </w:rPr>
      </w:pPr>
    </w:p>
    <w:p w:rsidR="00554EB4" w:rsidRPr="00467FAC" w:rsidRDefault="00554EB4" w:rsidP="00554EB4">
      <w:pPr>
        <w:rPr>
          <w:rFonts w:ascii="Century Gothic" w:hAnsi="Century Gothic"/>
          <w:b/>
        </w:rPr>
      </w:pPr>
      <w:r w:rsidRPr="00467FAC">
        <w:rPr>
          <w:rFonts w:ascii="Century Gothic" w:hAnsi="Century Gothic"/>
          <w:b/>
        </w:rPr>
        <w:br w:type="page"/>
      </w:r>
    </w:p>
    <w:p w:rsidR="00C304A7" w:rsidRPr="007E5AC8" w:rsidRDefault="00C304A7" w:rsidP="008722F5">
      <w:pPr>
        <w:spacing w:after="76"/>
        <w:ind w:left="57" w:right="45" w:firstLine="2"/>
        <w:jc w:val="both"/>
        <w:rPr>
          <w:rFonts w:ascii="Century Gothic" w:hAnsi="Century Gothic"/>
        </w:rPr>
      </w:pPr>
      <w:r w:rsidRPr="00554EB4">
        <w:rPr>
          <w:rFonts w:ascii="Century Gothic" w:hAnsi="Century Gothic"/>
          <w:b/>
        </w:rPr>
        <w:lastRenderedPageBreak/>
        <w:t>PRIMERO.</w:t>
      </w:r>
      <w:r w:rsidRPr="007E5AC8">
        <w:rPr>
          <w:rFonts w:ascii="Century Gothic" w:hAnsi="Century Gothic"/>
        </w:rPr>
        <w:t>- Se analiza la</w:t>
      </w:r>
      <w:r w:rsidR="00554EB4">
        <w:rPr>
          <w:rFonts w:ascii="Century Gothic" w:hAnsi="Century Gothic"/>
        </w:rPr>
        <w:t xml:space="preserve">   declaratoria de clasificación como  información reservada</w:t>
      </w:r>
      <w:r w:rsidRPr="007E5AC8">
        <w:rPr>
          <w:rFonts w:ascii="Century Gothic" w:hAnsi="Century Gothic"/>
        </w:rPr>
        <w:t xml:space="preserve">, </w:t>
      </w:r>
      <w:r w:rsidR="00554EB4">
        <w:rPr>
          <w:rFonts w:ascii="Century Gothic" w:hAnsi="Century Gothic"/>
        </w:rPr>
        <w:t xml:space="preserve"> lo peticionado  en el expediente 14/2017, relativo a los Expedientes de Responsabilidad Patrimonial</w:t>
      </w:r>
      <w:r w:rsidRPr="007E5AC8">
        <w:rPr>
          <w:rFonts w:ascii="Century Gothic" w:hAnsi="Century Gothic"/>
        </w:rPr>
        <w:t>.</w:t>
      </w:r>
    </w:p>
    <w:p w:rsidR="00C304A7" w:rsidRPr="007E5AC8" w:rsidRDefault="00C304A7" w:rsidP="008722F5">
      <w:pPr>
        <w:spacing w:after="88"/>
        <w:ind w:left="63" w:right="33" w:firstLine="8"/>
        <w:jc w:val="both"/>
        <w:rPr>
          <w:rFonts w:ascii="Century Gothic" w:hAnsi="Century Gothic"/>
        </w:rPr>
      </w:pPr>
      <w:r w:rsidRPr="007E5AC8">
        <w:rPr>
          <w:rFonts w:ascii="Century Gothic" w:hAnsi="Century Gothic"/>
        </w:rPr>
        <w:t>SEGUNDO.- La información a que se refiere el presente Acuerdo, se considera reservada a partir de día 03 tres de noviembre del año 2016 dos mil Dieciséis y hasta por el Periodo de 5 cinco años.</w:t>
      </w:r>
    </w:p>
    <w:p w:rsidR="00C304A7" w:rsidRPr="007E5AC8" w:rsidRDefault="00C304A7" w:rsidP="008722F5">
      <w:pPr>
        <w:spacing w:after="116"/>
        <w:ind w:left="57" w:right="45" w:firstLine="2"/>
        <w:jc w:val="both"/>
        <w:rPr>
          <w:rFonts w:ascii="Century Gothic" w:hAnsi="Century Gothic"/>
        </w:rPr>
      </w:pPr>
      <w:r w:rsidRPr="007E5AC8">
        <w:rPr>
          <w:rFonts w:ascii="Century Gothic" w:hAnsi="Century Gothic"/>
        </w:rPr>
        <w:t>TERCERO.- La información aquí reservada queda bajo resguardo de la DIRECCIÓN DE RECURSOS HUMANOS de esta Secretaría de Movilidad, quién deberá adoptar las medidas necesarias para la protección de la información reservada y confidencial para el debido manejo, mantenimiento, seguridad y protección de la misma.</w:t>
      </w:r>
    </w:p>
    <w:p w:rsidR="00C304A7" w:rsidRPr="007E5AC8" w:rsidRDefault="00C304A7" w:rsidP="008722F5">
      <w:pPr>
        <w:spacing w:after="55"/>
        <w:ind w:left="63" w:right="33" w:firstLine="8"/>
        <w:jc w:val="both"/>
        <w:rPr>
          <w:rFonts w:ascii="Century Gothic" w:hAnsi="Century Gothic"/>
        </w:rPr>
      </w:pPr>
      <w:r w:rsidRPr="007E5AC8">
        <w:rPr>
          <w:rFonts w:ascii="Century Gothic" w:hAnsi="Century Gothic"/>
        </w:rPr>
        <w:t>No existiendo más asuntos que tratar, y con objeto de dar cumplimiento a lo establecido en la Ley de Transparencia y Acceso a la Información Pública del Estado de Jalisco y sus Municipios, se concluye la sesión el día de su inició hasta</w:t>
      </w:r>
    </w:p>
    <w:p w:rsidR="00384A3A" w:rsidRPr="007E5AC8" w:rsidRDefault="00384A3A" w:rsidP="008722F5">
      <w:pPr>
        <w:jc w:val="both"/>
        <w:rPr>
          <w:rFonts w:ascii="Century Gothic" w:hAnsi="Century Gothic"/>
        </w:rPr>
      </w:pPr>
    </w:p>
    <w:sectPr w:rsidR="00384A3A" w:rsidRPr="007E5AC8" w:rsidSect="005C5AF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33" o:spid="_x0000_i1061" type="#_x0000_t75" style="width:.75pt;height:2.25pt;visibility:visible;mso-wrap-style:square" o:bullet="t">
        <v:imagedata r:id="rId1" o:title=""/>
      </v:shape>
    </w:pict>
  </w:numPicBullet>
  <w:abstractNum w:abstractNumId="0">
    <w:nsid w:val="700F4D46"/>
    <w:multiLevelType w:val="hybridMultilevel"/>
    <w:tmpl w:val="6B06578E"/>
    <w:lvl w:ilvl="0" w:tplc="3BB0629C">
      <w:start w:val="1"/>
      <w:numFmt w:val="bullet"/>
      <w:lvlText w:val=""/>
      <w:lvlPicBulletId w:val="0"/>
      <w:lvlJc w:val="left"/>
      <w:pPr>
        <w:tabs>
          <w:tab w:val="num" w:pos="720"/>
        </w:tabs>
        <w:ind w:left="720" w:hanging="360"/>
      </w:pPr>
      <w:rPr>
        <w:rFonts w:ascii="Symbol" w:hAnsi="Symbol" w:hint="default"/>
      </w:rPr>
    </w:lvl>
    <w:lvl w:ilvl="1" w:tplc="946A295C" w:tentative="1">
      <w:start w:val="1"/>
      <w:numFmt w:val="bullet"/>
      <w:lvlText w:val=""/>
      <w:lvlJc w:val="left"/>
      <w:pPr>
        <w:tabs>
          <w:tab w:val="num" w:pos="1440"/>
        </w:tabs>
        <w:ind w:left="1440" w:hanging="360"/>
      </w:pPr>
      <w:rPr>
        <w:rFonts w:ascii="Symbol" w:hAnsi="Symbol" w:hint="default"/>
      </w:rPr>
    </w:lvl>
    <w:lvl w:ilvl="2" w:tplc="0E1C87D0" w:tentative="1">
      <w:start w:val="1"/>
      <w:numFmt w:val="bullet"/>
      <w:lvlText w:val=""/>
      <w:lvlJc w:val="left"/>
      <w:pPr>
        <w:tabs>
          <w:tab w:val="num" w:pos="2160"/>
        </w:tabs>
        <w:ind w:left="2160" w:hanging="360"/>
      </w:pPr>
      <w:rPr>
        <w:rFonts w:ascii="Symbol" w:hAnsi="Symbol" w:hint="default"/>
      </w:rPr>
    </w:lvl>
    <w:lvl w:ilvl="3" w:tplc="A074224C" w:tentative="1">
      <w:start w:val="1"/>
      <w:numFmt w:val="bullet"/>
      <w:lvlText w:val=""/>
      <w:lvlJc w:val="left"/>
      <w:pPr>
        <w:tabs>
          <w:tab w:val="num" w:pos="2880"/>
        </w:tabs>
        <w:ind w:left="2880" w:hanging="360"/>
      </w:pPr>
      <w:rPr>
        <w:rFonts w:ascii="Symbol" w:hAnsi="Symbol" w:hint="default"/>
      </w:rPr>
    </w:lvl>
    <w:lvl w:ilvl="4" w:tplc="486A62D2" w:tentative="1">
      <w:start w:val="1"/>
      <w:numFmt w:val="bullet"/>
      <w:lvlText w:val=""/>
      <w:lvlJc w:val="left"/>
      <w:pPr>
        <w:tabs>
          <w:tab w:val="num" w:pos="3600"/>
        </w:tabs>
        <w:ind w:left="3600" w:hanging="360"/>
      </w:pPr>
      <w:rPr>
        <w:rFonts w:ascii="Symbol" w:hAnsi="Symbol" w:hint="default"/>
      </w:rPr>
    </w:lvl>
    <w:lvl w:ilvl="5" w:tplc="89C004AC" w:tentative="1">
      <w:start w:val="1"/>
      <w:numFmt w:val="bullet"/>
      <w:lvlText w:val=""/>
      <w:lvlJc w:val="left"/>
      <w:pPr>
        <w:tabs>
          <w:tab w:val="num" w:pos="4320"/>
        </w:tabs>
        <w:ind w:left="4320" w:hanging="360"/>
      </w:pPr>
      <w:rPr>
        <w:rFonts w:ascii="Symbol" w:hAnsi="Symbol" w:hint="default"/>
      </w:rPr>
    </w:lvl>
    <w:lvl w:ilvl="6" w:tplc="9010453E" w:tentative="1">
      <w:start w:val="1"/>
      <w:numFmt w:val="bullet"/>
      <w:lvlText w:val=""/>
      <w:lvlJc w:val="left"/>
      <w:pPr>
        <w:tabs>
          <w:tab w:val="num" w:pos="5040"/>
        </w:tabs>
        <w:ind w:left="5040" w:hanging="360"/>
      </w:pPr>
      <w:rPr>
        <w:rFonts w:ascii="Symbol" w:hAnsi="Symbol" w:hint="default"/>
      </w:rPr>
    </w:lvl>
    <w:lvl w:ilvl="7" w:tplc="AA089DF0" w:tentative="1">
      <w:start w:val="1"/>
      <w:numFmt w:val="bullet"/>
      <w:lvlText w:val=""/>
      <w:lvlJc w:val="left"/>
      <w:pPr>
        <w:tabs>
          <w:tab w:val="num" w:pos="5760"/>
        </w:tabs>
        <w:ind w:left="5760" w:hanging="360"/>
      </w:pPr>
      <w:rPr>
        <w:rFonts w:ascii="Symbol" w:hAnsi="Symbol" w:hint="default"/>
      </w:rPr>
    </w:lvl>
    <w:lvl w:ilvl="8" w:tplc="8DFA213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04A7"/>
    <w:rsid w:val="00384A3A"/>
    <w:rsid w:val="00467FAC"/>
    <w:rsid w:val="00554EB4"/>
    <w:rsid w:val="00572A43"/>
    <w:rsid w:val="005C5AF7"/>
    <w:rsid w:val="00630A2F"/>
    <w:rsid w:val="007D78F3"/>
    <w:rsid w:val="007E0BC8"/>
    <w:rsid w:val="007E5AC8"/>
    <w:rsid w:val="0080397B"/>
    <w:rsid w:val="00811CB3"/>
    <w:rsid w:val="008722F5"/>
    <w:rsid w:val="00A252D8"/>
    <w:rsid w:val="00A75C2D"/>
    <w:rsid w:val="00BC407F"/>
    <w:rsid w:val="00C304A7"/>
    <w:rsid w:val="00D36A9B"/>
    <w:rsid w:val="00DE3BB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0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4A7"/>
    <w:rPr>
      <w:rFonts w:ascii="Tahoma" w:hAnsi="Tahoma" w:cs="Tahoma"/>
      <w:sz w:val="16"/>
      <w:szCs w:val="16"/>
    </w:rPr>
  </w:style>
  <w:style w:type="paragraph" w:customStyle="1" w:styleId="Estilo">
    <w:name w:val="Estilo"/>
    <w:basedOn w:val="Sinespaciado"/>
    <w:link w:val="EstiloCar"/>
    <w:uiPriority w:val="99"/>
    <w:rsid w:val="008722F5"/>
    <w:pPr>
      <w:jc w:val="both"/>
    </w:pPr>
    <w:rPr>
      <w:rFonts w:ascii="Arial" w:eastAsia="Calibri" w:hAnsi="Arial" w:cs="Arial"/>
      <w:sz w:val="24"/>
      <w:szCs w:val="24"/>
      <w:lang w:eastAsia="en-US"/>
    </w:rPr>
  </w:style>
  <w:style w:type="character" w:customStyle="1" w:styleId="EstiloCar">
    <w:name w:val="Estilo Car"/>
    <w:link w:val="Estilo"/>
    <w:uiPriority w:val="99"/>
    <w:locked/>
    <w:rsid w:val="008722F5"/>
    <w:rPr>
      <w:rFonts w:ascii="Arial" w:eastAsia="Calibri" w:hAnsi="Arial" w:cs="Arial"/>
      <w:sz w:val="24"/>
      <w:szCs w:val="24"/>
      <w:lang w:eastAsia="en-US"/>
    </w:rPr>
  </w:style>
  <w:style w:type="paragraph" w:styleId="Sinespaciado">
    <w:name w:val="No Spacing"/>
    <w:uiPriority w:val="1"/>
    <w:qFormat/>
    <w:rsid w:val="008722F5"/>
    <w:pPr>
      <w:spacing w:after="0" w:line="240" w:lineRule="auto"/>
    </w:pPr>
  </w:style>
  <w:style w:type="paragraph" w:styleId="Prrafodelista">
    <w:name w:val="List Paragraph"/>
    <w:basedOn w:val="Normal"/>
    <w:uiPriority w:val="34"/>
    <w:qFormat/>
    <w:rsid w:val="00BC407F"/>
    <w:pPr>
      <w:ind w:left="720"/>
      <w:contextualSpacing/>
    </w:pPr>
  </w:style>
</w:styles>
</file>

<file path=word/webSettings.xml><?xml version="1.0" encoding="utf-8"?>
<w:webSettings xmlns:r="http://schemas.openxmlformats.org/officeDocument/2006/relationships" xmlns:w="http://schemas.openxmlformats.org/wordprocessingml/2006/main">
  <w:divs>
    <w:div w:id="19583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2302</Words>
  <Characters>12663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EYC-P01</dc:creator>
  <cp:keywords/>
  <dc:description/>
  <cp:lastModifiedBy>EYC-P01</cp:lastModifiedBy>
  <cp:revision>4</cp:revision>
  <cp:lastPrinted>2017-05-26T15:50:00Z</cp:lastPrinted>
  <dcterms:created xsi:type="dcterms:W3CDTF">2017-05-25T16:00:00Z</dcterms:created>
  <dcterms:modified xsi:type="dcterms:W3CDTF">2017-05-26T15:50:00Z</dcterms:modified>
</cp:coreProperties>
</file>